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46AD" w14:textId="7BC859FB" w:rsidR="00C743BA" w:rsidRPr="002D6F51" w:rsidRDefault="00C743BA" w:rsidP="004D37A0">
      <w:pPr>
        <w:pStyle w:val="Heading1"/>
        <w:spacing w:line="276" w:lineRule="auto"/>
        <w:jc w:val="center"/>
        <w:rPr>
          <w:rFonts w:asciiTheme="minorBidi" w:hAnsiTheme="minorBidi" w:cstheme="minorBidi"/>
          <w:sz w:val="32"/>
          <w:szCs w:val="32"/>
          <w:lang w:val="en-US"/>
        </w:rPr>
      </w:pPr>
      <w:r w:rsidRPr="002D6F51">
        <w:rPr>
          <w:rFonts w:asciiTheme="minorBidi" w:hAnsiTheme="minorBidi" w:cstheme="minorBidi"/>
          <w:sz w:val="32"/>
          <w:szCs w:val="32"/>
          <w:lang w:val="en-US"/>
        </w:rPr>
        <w:t xml:space="preserve">UN side-event on Human Rights at COP29: </w:t>
      </w:r>
      <w:r w:rsidRPr="002D6F51">
        <w:rPr>
          <w:rFonts w:asciiTheme="minorBidi" w:hAnsiTheme="minorBidi" w:cstheme="minorBidi"/>
          <w:sz w:val="32"/>
          <w:szCs w:val="32"/>
        </w:rPr>
        <w:t>Achieving transformative climate action through gender-responsive, rights-based economic approaches</w:t>
      </w:r>
    </w:p>
    <w:p w14:paraId="236FBC6B" w14:textId="77777777" w:rsidR="00C743BA" w:rsidRPr="00C743BA" w:rsidRDefault="00C743BA" w:rsidP="004D37A0">
      <w:pPr>
        <w:spacing w:line="276" w:lineRule="auto"/>
        <w:jc w:val="center"/>
        <w:rPr>
          <w:rFonts w:asciiTheme="minorBidi" w:hAnsiTheme="minorBidi"/>
          <w:sz w:val="22"/>
          <w:szCs w:val="22"/>
          <w:lang w:val="en-US"/>
        </w:rPr>
      </w:pPr>
      <w:r w:rsidRPr="00C743BA">
        <w:rPr>
          <w:rFonts w:asciiTheme="minorBidi" w:hAnsiTheme="minorBidi"/>
          <w:sz w:val="22"/>
          <w:szCs w:val="22"/>
          <w:lang w:val="en-US"/>
        </w:rPr>
        <w:t xml:space="preserve">Tuesday, 12 November, from 13:15-14:45 </w:t>
      </w:r>
      <w:proofErr w:type="gramStart"/>
      <w:r w:rsidRPr="00C743BA">
        <w:rPr>
          <w:rFonts w:asciiTheme="minorBidi" w:hAnsiTheme="minorBidi"/>
          <w:sz w:val="22"/>
          <w:szCs w:val="22"/>
          <w:lang w:val="en-US"/>
        </w:rPr>
        <w:t>in Side</w:t>
      </w:r>
      <w:proofErr w:type="gramEnd"/>
      <w:r w:rsidRPr="00C743BA">
        <w:rPr>
          <w:rFonts w:asciiTheme="minorBidi" w:hAnsiTheme="minorBidi"/>
          <w:sz w:val="22"/>
          <w:szCs w:val="22"/>
          <w:lang w:val="en-US"/>
        </w:rPr>
        <w:t xml:space="preserve"> Event Room 3.</w:t>
      </w:r>
    </w:p>
    <w:p w14:paraId="413A438B" w14:textId="1BBD0058" w:rsidR="00C743BA" w:rsidRPr="004D37A0" w:rsidRDefault="00C743BA" w:rsidP="004D37A0">
      <w:pPr>
        <w:pStyle w:val="NoSpacing"/>
        <w:spacing w:line="276" w:lineRule="auto"/>
        <w:jc w:val="both"/>
        <w:rPr>
          <w:rStyle w:val="SubtleEmphasis"/>
          <w:rFonts w:asciiTheme="minorBidi" w:hAnsiTheme="minorBidi"/>
          <w:sz w:val="22"/>
          <w:szCs w:val="22"/>
        </w:rPr>
      </w:pPr>
      <w:r w:rsidRPr="004D37A0">
        <w:rPr>
          <w:rStyle w:val="SubtleEmphasis"/>
          <w:rFonts w:asciiTheme="minorBidi" w:hAnsiTheme="minorBidi"/>
          <w:sz w:val="22"/>
          <w:szCs w:val="22"/>
        </w:rPr>
        <w:t>The event organized by the Office of the UN High Commissioner for Human Rights (OHCHR), United Nations University (UNU), and UN Women and also supported by UNODC, UNU-VIE, UNU-FLORES, UNDP, UNFPA, ECLAC, WHO, UNECE, UNEP and IOM.</w:t>
      </w:r>
    </w:p>
    <w:p w14:paraId="472CC322" w14:textId="77777777" w:rsidR="004D37A0" w:rsidRPr="004D37A0" w:rsidRDefault="004D37A0" w:rsidP="004D37A0">
      <w:pPr>
        <w:pStyle w:val="NoSpacing"/>
        <w:spacing w:line="276" w:lineRule="auto"/>
        <w:jc w:val="both"/>
        <w:rPr>
          <w:rStyle w:val="SubtleEmphasis"/>
          <w:rFonts w:asciiTheme="minorBidi" w:hAnsiTheme="minorBidi"/>
          <w:sz w:val="22"/>
          <w:szCs w:val="22"/>
          <w:lang w:val="en-US"/>
        </w:rPr>
      </w:pPr>
    </w:p>
    <w:p w14:paraId="7E898098" w14:textId="04BB38D3" w:rsidR="00C743BA" w:rsidRPr="004D37A0" w:rsidRDefault="00C743BA" w:rsidP="004D37A0">
      <w:pPr>
        <w:pStyle w:val="NoSpacing"/>
        <w:spacing w:line="276" w:lineRule="auto"/>
        <w:jc w:val="both"/>
        <w:rPr>
          <w:rStyle w:val="SubtleEmphasis"/>
          <w:rFonts w:asciiTheme="minorBidi" w:hAnsiTheme="minorBidi"/>
          <w:sz w:val="22"/>
          <w:szCs w:val="22"/>
          <w:lang w:val="en-US"/>
        </w:rPr>
      </w:pPr>
      <w:r w:rsidRPr="004D37A0">
        <w:rPr>
          <w:rStyle w:val="SubtleEmphasis"/>
          <w:rFonts w:asciiTheme="minorBidi" w:hAnsiTheme="minorBidi"/>
          <w:sz w:val="22"/>
          <w:szCs w:val="22"/>
        </w:rPr>
        <w:t>Event will focus on how COP outcomes, particularly those related to finance, article 6 of the Paris Agreement, and just transition, can achieve transformative, ambitious climate action by integrating elements of a human rights economy and capacity building that prioritises people and the environment</w:t>
      </w:r>
      <w:r w:rsidR="004D37A0" w:rsidRPr="004D37A0">
        <w:rPr>
          <w:rStyle w:val="SubtleEmphasis"/>
          <w:rFonts w:asciiTheme="minorBidi" w:hAnsiTheme="minorBidi"/>
          <w:sz w:val="22"/>
          <w:szCs w:val="22"/>
          <w:lang w:val="en-US"/>
        </w:rPr>
        <w:t>.</w:t>
      </w:r>
    </w:p>
    <w:p w14:paraId="43476156" w14:textId="77777777" w:rsidR="004D37A0" w:rsidRPr="004D37A0" w:rsidRDefault="004D37A0" w:rsidP="004D37A0">
      <w:pPr>
        <w:pStyle w:val="NoSpacing"/>
        <w:spacing w:line="276" w:lineRule="auto"/>
        <w:rPr>
          <w:rStyle w:val="SubtleEmphasis"/>
          <w:rFonts w:asciiTheme="minorBidi" w:hAnsiTheme="minorBidi"/>
          <w:sz w:val="22"/>
          <w:szCs w:val="22"/>
          <w:lang w:val="en-US"/>
        </w:rPr>
      </w:pPr>
    </w:p>
    <w:p w14:paraId="0D9DAC36" w14:textId="74E4436B" w:rsidR="00C743BA" w:rsidRPr="004D37A0" w:rsidRDefault="00C743BA" w:rsidP="004D37A0">
      <w:pPr>
        <w:spacing w:line="276" w:lineRule="auto"/>
        <w:jc w:val="both"/>
        <w:rPr>
          <w:rFonts w:asciiTheme="minorBidi" w:eastAsiaTheme="majorEastAsia" w:hAnsiTheme="minorBidi"/>
          <w:b/>
          <w:bCs/>
          <w:kern w:val="0"/>
          <w:sz w:val="22"/>
          <w:szCs w:val="22"/>
          <w:lang w:eastAsia="en-CA"/>
          <w14:ligatures w14:val="none"/>
        </w:rPr>
      </w:pPr>
      <w:bookmarkStart w:id="0" w:name="_heading=h.gjdgxs" w:colFirst="0" w:colLast="0"/>
      <w:bookmarkEnd w:id="0"/>
      <w:r w:rsidRPr="004D37A0">
        <w:rPr>
          <w:rFonts w:asciiTheme="minorBidi" w:eastAsiaTheme="majorEastAsia" w:hAnsiTheme="minorBidi"/>
          <w:b/>
          <w:bCs/>
          <w:kern w:val="0"/>
          <w:sz w:val="22"/>
          <w:szCs w:val="22"/>
          <w:lang w:eastAsia="en-CA"/>
          <w14:ligatures w14:val="none"/>
        </w:rPr>
        <w:t>Objectives</w:t>
      </w:r>
    </w:p>
    <w:p w14:paraId="179E8563" w14:textId="77777777" w:rsidR="00C743BA" w:rsidRPr="004D37A0" w:rsidRDefault="00C743BA" w:rsidP="004D37A0">
      <w:pPr>
        <w:spacing w:line="276" w:lineRule="auto"/>
        <w:jc w:val="both"/>
        <w:rPr>
          <w:rFonts w:asciiTheme="minorBidi" w:eastAsia="Calibri" w:hAnsiTheme="minorBidi"/>
          <w:color w:val="000000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color w:val="000000"/>
          <w:sz w:val="22"/>
          <w:szCs w:val="22"/>
        </w:rPr>
        <w:t xml:space="preserve">This event will draw from a wide range of research and reports including by the IPCC, the Secretary-General and the Office of the UN High Commissioner for Human Rights and relevant work under UN treaties to highlight the importance of rights-based, gender responsive approaches and capacity building to economic transformation. A human rights economy </w:t>
      </w:r>
      <w:r w:rsidRPr="004D37A0">
        <w:rPr>
          <w:rFonts w:asciiTheme="minorBidi" w:eastAsia="Calibri" w:hAnsiTheme="minorBidi"/>
          <w:sz w:val="22"/>
          <w:szCs w:val="22"/>
        </w:rPr>
        <w:t>prioritises</w:t>
      </w:r>
      <w:r w:rsidRPr="004D37A0">
        <w:rPr>
          <w:rFonts w:asciiTheme="minorBidi" w:eastAsia="Calibri" w:hAnsiTheme="minorBidi"/>
          <w:color w:val="000000"/>
          <w:sz w:val="22"/>
          <w:szCs w:val="22"/>
        </w:rPr>
        <w:t xml:space="preserve"> people, the environment and sustainable development. This event will feature concrete examples to highlight how integration of elements of a human rights economy and capacity building in COP29 outcomes will lead to more effective and sustainable long-term climate action, including through the promotion of justice and good governance. </w:t>
      </w:r>
    </w:p>
    <w:p w14:paraId="44E2510B" w14:textId="77777777" w:rsidR="00C743BA" w:rsidRPr="004D37A0" w:rsidRDefault="00C743BA" w:rsidP="004D37A0">
      <w:pPr>
        <w:spacing w:line="276" w:lineRule="auto"/>
        <w:rPr>
          <w:rFonts w:asciiTheme="minorBidi" w:eastAsia="Calibri" w:hAnsiTheme="minorBidi"/>
          <w:color w:val="000000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color w:val="000000"/>
          <w:sz w:val="22"/>
          <w:szCs w:val="22"/>
        </w:rPr>
        <w:t>Speakers will discuss</w:t>
      </w:r>
      <w:r w:rsidRPr="004D37A0">
        <w:rPr>
          <w:rFonts w:asciiTheme="minorBidi" w:eastAsia="Calibri" w:hAnsiTheme="minorBidi"/>
          <w:color w:val="000000"/>
          <w:sz w:val="22"/>
          <w:szCs w:val="22"/>
          <w:lang w:val="en-US"/>
        </w:rPr>
        <w:t>:</w:t>
      </w:r>
    </w:p>
    <w:p w14:paraId="59DF69ED" w14:textId="3D652C8E" w:rsidR="00C743BA" w:rsidRPr="004D37A0" w:rsidRDefault="00C743BA" w:rsidP="002D6F51">
      <w:pPr>
        <w:spacing w:line="276" w:lineRule="auto"/>
        <w:jc w:val="both"/>
        <w:rPr>
          <w:rFonts w:asciiTheme="minorBidi" w:eastAsia="Calibri" w:hAnsiTheme="minorBidi"/>
          <w:color w:val="000000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color w:val="000000"/>
          <w:sz w:val="22"/>
          <w:szCs w:val="22"/>
        </w:rPr>
        <w:t>1) the need for holistic approaches to climate finance including mitigation, adaptation and loss and damage as well as qualitative and flexible targets grounded in human rights including gender equality</w:t>
      </w:r>
      <w:r w:rsidRPr="004D37A0">
        <w:rPr>
          <w:rFonts w:asciiTheme="minorBidi" w:eastAsia="Calibri" w:hAnsiTheme="minorBidi"/>
          <w:color w:val="000000"/>
          <w:sz w:val="22"/>
          <w:szCs w:val="22"/>
          <w:lang w:val="en-US"/>
        </w:rPr>
        <w:t>.</w:t>
      </w:r>
    </w:p>
    <w:p w14:paraId="2C2FE673" w14:textId="5FA3E1EE" w:rsidR="00C743BA" w:rsidRPr="004D37A0" w:rsidRDefault="00C743BA" w:rsidP="002D6F51">
      <w:pPr>
        <w:spacing w:line="276" w:lineRule="auto"/>
        <w:jc w:val="both"/>
        <w:rPr>
          <w:rFonts w:asciiTheme="minorBidi" w:eastAsia="Calibri" w:hAnsiTheme="minorBidi"/>
          <w:color w:val="000000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color w:val="000000"/>
          <w:sz w:val="22"/>
          <w:szCs w:val="22"/>
        </w:rPr>
        <w:t>2) human rights safeguards and exclusionary criteria for Article 6 mechanisms</w:t>
      </w:r>
      <w:r w:rsidRPr="004D37A0">
        <w:rPr>
          <w:rFonts w:asciiTheme="minorBidi" w:eastAsia="Calibri" w:hAnsiTheme="minorBidi"/>
          <w:color w:val="000000"/>
          <w:sz w:val="22"/>
          <w:szCs w:val="22"/>
          <w:lang w:val="en-US"/>
        </w:rPr>
        <w:t>.</w:t>
      </w:r>
    </w:p>
    <w:p w14:paraId="106C662F" w14:textId="646E3D15" w:rsidR="00C743BA" w:rsidRPr="004D37A0" w:rsidRDefault="00C743BA" w:rsidP="002D6F51">
      <w:pPr>
        <w:spacing w:line="276" w:lineRule="auto"/>
        <w:jc w:val="both"/>
        <w:rPr>
          <w:rFonts w:asciiTheme="minorBidi" w:eastAsia="Calibri" w:hAnsiTheme="minorBidi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color w:val="000000"/>
          <w:sz w:val="22"/>
          <w:szCs w:val="22"/>
        </w:rPr>
        <w:t>3) how the just transition work programme can support an equitable and just transition to a sustainable economy that benefits all people and the environment</w:t>
      </w:r>
      <w:r w:rsidRPr="004D37A0">
        <w:rPr>
          <w:rFonts w:asciiTheme="minorBidi" w:eastAsia="Calibri" w:hAnsiTheme="minorBidi"/>
          <w:sz w:val="22"/>
          <w:szCs w:val="22"/>
          <w:lang w:val="en-US"/>
        </w:rPr>
        <w:t>.</w:t>
      </w:r>
    </w:p>
    <w:p w14:paraId="419EA76B" w14:textId="44A887BE" w:rsidR="00C743BA" w:rsidRPr="004D37A0" w:rsidRDefault="00C743BA" w:rsidP="002D6F51">
      <w:pPr>
        <w:spacing w:line="276" w:lineRule="auto"/>
        <w:jc w:val="both"/>
        <w:rPr>
          <w:rFonts w:asciiTheme="minorBidi" w:eastAsia="Calibri" w:hAnsiTheme="minorBidi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sz w:val="22"/>
          <w:szCs w:val="22"/>
        </w:rPr>
        <w:t>4) the role of capacity building to create the enabling environment for achieving a transformative climate action.</w:t>
      </w:r>
    </w:p>
    <w:p w14:paraId="1F683F35" w14:textId="77777777" w:rsidR="004D37A0" w:rsidRDefault="004D37A0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42AC092E" w14:textId="77777777" w:rsidR="008768E5" w:rsidRDefault="008768E5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711A96D3" w14:textId="77777777" w:rsidR="008768E5" w:rsidRDefault="008768E5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70E82126" w14:textId="77777777" w:rsidR="008768E5" w:rsidRDefault="008768E5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5CDA11C9" w14:textId="77777777" w:rsidR="008768E5" w:rsidRDefault="008768E5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71274607" w14:textId="77777777" w:rsidR="008768E5" w:rsidRPr="004D37A0" w:rsidRDefault="008768E5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</w:p>
    <w:p w14:paraId="0864E61D" w14:textId="3C67C62F" w:rsidR="00C743BA" w:rsidRPr="004D37A0" w:rsidRDefault="00C743BA" w:rsidP="004D37A0">
      <w:pPr>
        <w:spacing w:line="276" w:lineRule="auto"/>
        <w:rPr>
          <w:rFonts w:asciiTheme="minorBidi" w:eastAsia="Calibri" w:hAnsiTheme="minorBidi"/>
          <w:b/>
          <w:bCs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b/>
          <w:bCs/>
          <w:sz w:val="22"/>
          <w:szCs w:val="22"/>
          <w:lang w:val="en-US"/>
        </w:rPr>
        <w:lastRenderedPageBreak/>
        <w:t>Agenda</w:t>
      </w:r>
    </w:p>
    <w:p w14:paraId="28074268" w14:textId="5F477EF4" w:rsidR="00C743BA" w:rsidRPr="004D37A0" w:rsidRDefault="00C743BA" w:rsidP="004D37A0">
      <w:pPr>
        <w:spacing w:line="276" w:lineRule="auto"/>
        <w:rPr>
          <w:rFonts w:asciiTheme="minorBidi" w:eastAsia="Calibri" w:hAnsiTheme="minorBidi"/>
          <w:sz w:val="22"/>
          <w:szCs w:val="22"/>
          <w:lang w:val="en-US"/>
        </w:rPr>
      </w:pPr>
      <w:r w:rsidRPr="004D37A0">
        <w:rPr>
          <w:rFonts w:asciiTheme="minorBidi" w:eastAsia="Calibri" w:hAnsiTheme="minorBidi"/>
          <w:sz w:val="22"/>
          <w:szCs w:val="22"/>
          <w:lang w:val="en-US"/>
        </w:rPr>
        <w:t xml:space="preserve">Moderation by </w:t>
      </w:r>
      <w:r w:rsidR="00E54F1A" w:rsidRPr="00E54F1A">
        <w:rPr>
          <w:rFonts w:asciiTheme="minorBidi" w:eastAsia="Calibri" w:hAnsiTheme="minorBidi"/>
          <w:sz w:val="22"/>
          <w:szCs w:val="22"/>
          <w:lang w:val="en-US"/>
        </w:rPr>
        <w:t>Benjamin Schachter</w:t>
      </w:r>
      <w:r w:rsidR="00E54F1A">
        <w:rPr>
          <w:rFonts w:asciiTheme="minorBidi" w:eastAsia="Calibri" w:hAnsiTheme="minorBidi"/>
          <w:sz w:val="22"/>
          <w:szCs w:val="22"/>
          <w:lang w:val="en-US"/>
        </w:rPr>
        <w:t xml:space="preserve">, </w:t>
      </w:r>
      <w:r w:rsidRPr="004D37A0">
        <w:rPr>
          <w:rFonts w:asciiTheme="minorBidi" w:eastAsia="Calibri" w:hAnsiTheme="minorBidi"/>
          <w:sz w:val="22"/>
          <w:szCs w:val="22"/>
          <w:lang w:val="en-US"/>
        </w:rPr>
        <w:t>OHCHR</w:t>
      </w:r>
    </w:p>
    <w:p w14:paraId="4A887D91" w14:textId="5963DC25" w:rsidR="00C743BA" w:rsidRPr="004D37A0" w:rsidRDefault="00C743BA" w:rsidP="003A6F2C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 w:rsidRPr="004D37A0">
        <w:rPr>
          <w:rFonts w:asciiTheme="minorBidi" w:hAnsiTheme="minorBidi"/>
          <w:sz w:val="22"/>
          <w:szCs w:val="22"/>
          <w:lang w:val="en-GB"/>
        </w:rPr>
        <w:t xml:space="preserve">1. Keynote Address </w:t>
      </w:r>
      <w:r w:rsidR="003A6F2C">
        <w:rPr>
          <w:rFonts w:asciiTheme="minorBidi" w:hAnsiTheme="minorBidi"/>
          <w:sz w:val="22"/>
          <w:szCs w:val="22"/>
          <w:lang w:val="en-GB"/>
        </w:rPr>
        <w:t xml:space="preserve">- </w:t>
      </w:r>
      <w:r w:rsidR="003A6F2C" w:rsidRPr="003A6F2C">
        <w:rPr>
          <w:rFonts w:asciiTheme="minorBidi" w:hAnsiTheme="minorBidi"/>
          <w:sz w:val="22"/>
          <w:szCs w:val="22"/>
        </w:rPr>
        <w:t>Anita Montoute, Permanent Secretary, Ministry of Education, Sustainable Development, Innovation, Science, Technology and Vocational Training, Saint Lucia</w:t>
      </w:r>
    </w:p>
    <w:p w14:paraId="71460B26" w14:textId="40BC244A" w:rsidR="00C743BA" w:rsidRDefault="00C743BA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 w:rsidRPr="004D37A0">
        <w:rPr>
          <w:rFonts w:asciiTheme="minorBidi" w:hAnsiTheme="minorBidi"/>
          <w:sz w:val="22"/>
          <w:szCs w:val="22"/>
          <w:lang w:val="en-GB"/>
        </w:rPr>
        <w:t xml:space="preserve">2. Opening remarks – </w:t>
      </w:r>
      <w:r w:rsidR="002E0DC4">
        <w:rPr>
          <w:rFonts w:asciiTheme="minorBidi" w:hAnsiTheme="minorBidi"/>
          <w:sz w:val="22"/>
          <w:szCs w:val="22"/>
          <w:lang w:val="en-GB"/>
        </w:rPr>
        <w:t>E</w:t>
      </w:r>
      <w:r w:rsidR="002E0DC4" w:rsidRPr="004D37A0">
        <w:rPr>
          <w:rFonts w:asciiTheme="minorBidi" w:hAnsiTheme="minorBidi"/>
          <w:sz w:val="22"/>
          <w:szCs w:val="22"/>
          <w:lang w:val="en-GB"/>
        </w:rPr>
        <w:t>lisa Morgera</w:t>
      </w:r>
      <w:r w:rsidR="002E0DC4">
        <w:rPr>
          <w:rFonts w:asciiTheme="minorBidi" w:hAnsiTheme="minorBidi"/>
          <w:sz w:val="22"/>
          <w:szCs w:val="22"/>
          <w:lang w:val="en-GB"/>
        </w:rPr>
        <w:t xml:space="preserve">, </w:t>
      </w:r>
      <w:r w:rsidRPr="004D37A0">
        <w:rPr>
          <w:rFonts w:asciiTheme="minorBidi" w:hAnsiTheme="minorBidi"/>
          <w:sz w:val="22"/>
          <w:szCs w:val="22"/>
          <w:lang w:val="en-GB"/>
        </w:rPr>
        <w:t>United Nations Special Rapporteur on the promotion and protection of human rights in the context of climate change</w:t>
      </w:r>
    </w:p>
    <w:p w14:paraId="6CA90CDC" w14:textId="47BA148B" w:rsidR="00410FF2" w:rsidRPr="004D37A0" w:rsidRDefault="00410FF2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Panel:</w:t>
      </w:r>
    </w:p>
    <w:p w14:paraId="2726AB17" w14:textId="2E2E5AD2" w:rsidR="00C743BA" w:rsidRDefault="00C743BA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 w:rsidRPr="004D37A0">
        <w:rPr>
          <w:rFonts w:asciiTheme="minorBidi" w:hAnsiTheme="minorBidi"/>
          <w:sz w:val="22"/>
          <w:szCs w:val="22"/>
          <w:lang w:val="en-GB"/>
        </w:rPr>
        <w:t>3.</w:t>
      </w:r>
      <w:r w:rsidR="006B53F6" w:rsidRPr="006B53F6">
        <w:rPr>
          <w:rFonts w:asciiTheme="minorBidi" w:hAnsiTheme="minorBidi"/>
          <w:sz w:val="22"/>
          <w:szCs w:val="22"/>
          <w:lang w:val="en-GB"/>
        </w:rPr>
        <w:t xml:space="preserve"> </w:t>
      </w:r>
      <w:r w:rsidR="006B53F6" w:rsidRPr="00410FF2">
        <w:rPr>
          <w:rFonts w:asciiTheme="minorBidi" w:hAnsiTheme="minorBidi"/>
          <w:sz w:val="22"/>
          <w:szCs w:val="22"/>
          <w:lang w:val="en-GB"/>
        </w:rPr>
        <w:t>Rabeb Aloui</w:t>
      </w:r>
      <w:r w:rsidR="006276D8">
        <w:rPr>
          <w:rFonts w:asciiTheme="minorBidi" w:hAnsiTheme="minorBidi"/>
          <w:sz w:val="22"/>
          <w:szCs w:val="22"/>
          <w:lang w:val="en-GB"/>
        </w:rPr>
        <w:t xml:space="preserve">, </w:t>
      </w:r>
      <w:r w:rsidRPr="004D37A0">
        <w:rPr>
          <w:rFonts w:asciiTheme="minorBidi" w:hAnsiTheme="minorBidi"/>
          <w:sz w:val="22"/>
          <w:szCs w:val="22"/>
          <w:lang w:val="en-GB"/>
        </w:rPr>
        <w:t xml:space="preserve">YOUNGO </w:t>
      </w:r>
    </w:p>
    <w:p w14:paraId="101461D9" w14:textId="440E53CD" w:rsidR="009C06BE" w:rsidRPr="009C06BE" w:rsidRDefault="004B72BC" w:rsidP="004D37A0">
      <w:pPr>
        <w:spacing w:line="276" w:lineRule="auto"/>
        <w:rPr>
          <w:rFonts w:asciiTheme="minorBidi" w:hAnsiTheme="minorBidi"/>
          <w:sz w:val="22"/>
          <w:szCs w:val="22"/>
          <w:lang w:val="en-IE"/>
        </w:rPr>
      </w:pPr>
      <w:r>
        <w:rPr>
          <w:rFonts w:asciiTheme="minorBidi" w:hAnsiTheme="minorBidi"/>
          <w:sz w:val="22"/>
          <w:szCs w:val="22"/>
          <w:lang w:val="en-IE"/>
        </w:rPr>
        <w:t xml:space="preserve">4. </w:t>
      </w:r>
      <w:r w:rsidRPr="004B72BC">
        <w:rPr>
          <w:rFonts w:asciiTheme="minorBidi" w:hAnsiTheme="minorBidi"/>
          <w:sz w:val="22"/>
          <w:szCs w:val="22"/>
          <w:lang w:val="en-IE"/>
        </w:rPr>
        <w:t xml:space="preserve">Mary Joyce M. Crisanto, Director, Human Rights Policy </w:t>
      </w:r>
      <w:proofErr w:type="spellStart"/>
      <w:r w:rsidRPr="004B72BC">
        <w:rPr>
          <w:rFonts w:asciiTheme="minorBidi" w:hAnsiTheme="minorBidi"/>
          <w:sz w:val="22"/>
          <w:szCs w:val="22"/>
          <w:lang w:val="en-IE"/>
        </w:rPr>
        <w:t>Centers</w:t>
      </w:r>
      <w:proofErr w:type="spellEnd"/>
      <w:r w:rsidRPr="004B72BC">
        <w:rPr>
          <w:rFonts w:asciiTheme="minorBidi" w:hAnsiTheme="minorBidi"/>
          <w:sz w:val="22"/>
          <w:szCs w:val="22"/>
          <w:lang w:val="en-IE"/>
        </w:rPr>
        <w:t xml:space="preserve"> Office, Commission on Human Rights of the Philippines</w:t>
      </w:r>
    </w:p>
    <w:p w14:paraId="117E559E" w14:textId="62A8D204" w:rsidR="00C743BA" w:rsidRPr="004D37A0" w:rsidRDefault="004B72BC" w:rsidP="005700EC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5</w:t>
      </w:r>
      <w:r w:rsidR="00C743BA" w:rsidRPr="004D37A0">
        <w:rPr>
          <w:rFonts w:asciiTheme="minorBidi" w:hAnsiTheme="minorBidi"/>
          <w:sz w:val="22"/>
          <w:szCs w:val="22"/>
          <w:lang w:val="en-GB"/>
        </w:rPr>
        <w:t xml:space="preserve">. </w:t>
      </w:r>
      <w:r w:rsidR="005700EC" w:rsidRPr="005700EC">
        <w:rPr>
          <w:rFonts w:asciiTheme="minorBidi" w:hAnsiTheme="minorBidi"/>
          <w:sz w:val="22"/>
          <w:szCs w:val="22"/>
        </w:rPr>
        <w:t xml:space="preserve">Janene Yazzie </w:t>
      </w:r>
    </w:p>
    <w:p w14:paraId="36A75415" w14:textId="373625D0" w:rsidR="00C743BA" w:rsidRPr="004D37A0" w:rsidRDefault="004B72BC" w:rsidP="006276D8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6</w:t>
      </w:r>
      <w:r w:rsidR="00C743BA" w:rsidRPr="004D37A0">
        <w:rPr>
          <w:rFonts w:asciiTheme="minorBidi" w:hAnsiTheme="minorBidi"/>
          <w:sz w:val="22"/>
          <w:szCs w:val="22"/>
          <w:lang w:val="en-GB"/>
        </w:rPr>
        <w:t xml:space="preserve">. </w:t>
      </w:r>
      <w:r w:rsidR="006276D8" w:rsidRPr="004D37A0">
        <w:rPr>
          <w:rFonts w:asciiTheme="minorBidi" w:hAnsiTheme="minorBidi"/>
          <w:sz w:val="22"/>
          <w:szCs w:val="22"/>
          <w:lang w:val="en-GB"/>
        </w:rPr>
        <w:t>Rebecca Iwerks</w:t>
      </w:r>
      <w:r w:rsidR="006276D8">
        <w:rPr>
          <w:rFonts w:asciiTheme="minorBidi" w:hAnsiTheme="minorBidi"/>
          <w:sz w:val="22"/>
          <w:szCs w:val="22"/>
          <w:lang w:val="en-GB"/>
        </w:rPr>
        <w:t xml:space="preserve">, </w:t>
      </w:r>
      <w:proofErr w:type="spellStart"/>
      <w:r w:rsidR="00166A1C" w:rsidRPr="004D37A0">
        <w:rPr>
          <w:rFonts w:asciiTheme="minorBidi" w:hAnsiTheme="minorBidi"/>
          <w:sz w:val="22"/>
          <w:szCs w:val="22"/>
          <w:lang w:val="en-GB"/>
        </w:rPr>
        <w:t>Namati</w:t>
      </w:r>
      <w:proofErr w:type="spellEnd"/>
      <w:r w:rsidR="00166A1C" w:rsidRPr="004D37A0">
        <w:rPr>
          <w:rFonts w:asciiTheme="minorBidi" w:hAnsiTheme="minorBidi"/>
          <w:sz w:val="22"/>
          <w:szCs w:val="22"/>
          <w:lang w:val="en-GB"/>
        </w:rPr>
        <w:t xml:space="preserve"> </w:t>
      </w:r>
    </w:p>
    <w:p w14:paraId="4C51809F" w14:textId="70616DEA" w:rsidR="00C743BA" w:rsidRPr="004D37A0" w:rsidRDefault="004B72BC" w:rsidP="00166A1C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7</w:t>
      </w:r>
      <w:r w:rsidR="00C743BA" w:rsidRPr="004D37A0">
        <w:rPr>
          <w:rFonts w:asciiTheme="minorBidi" w:hAnsiTheme="minorBidi"/>
          <w:sz w:val="22"/>
          <w:szCs w:val="22"/>
          <w:lang w:val="en-GB"/>
        </w:rPr>
        <w:t xml:space="preserve">. Gina Cortes, UNFCCC Women and Gender Constituency </w:t>
      </w:r>
    </w:p>
    <w:p w14:paraId="6DC0292D" w14:textId="7678DF51" w:rsidR="00C743BA" w:rsidRPr="004D37A0" w:rsidRDefault="004B72BC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>
        <w:rPr>
          <w:rFonts w:asciiTheme="minorBidi" w:hAnsiTheme="minorBidi"/>
          <w:sz w:val="22"/>
          <w:szCs w:val="22"/>
          <w:lang w:val="en-GB"/>
        </w:rPr>
        <w:t>8</w:t>
      </w:r>
      <w:r w:rsidR="00C743BA" w:rsidRPr="004D37A0">
        <w:rPr>
          <w:rFonts w:asciiTheme="minorBidi" w:hAnsiTheme="minorBidi"/>
          <w:sz w:val="22"/>
          <w:szCs w:val="22"/>
          <w:lang w:val="en-GB"/>
        </w:rPr>
        <w:t xml:space="preserve">. </w:t>
      </w:r>
      <w:r w:rsidR="006B53F6" w:rsidRPr="006B53F6">
        <w:rPr>
          <w:rFonts w:asciiTheme="minorBidi" w:hAnsiTheme="minorBidi"/>
          <w:sz w:val="22"/>
          <w:szCs w:val="22"/>
          <w:lang w:val="en-GB"/>
        </w:rPr>
        <w:t>Ambe Emmanuel Cheo</w:t>
      </w:r>
      <w:r w:rsidR="006B53F6">
        <w:rPr>
          <w:rFonts w:asciiTheme="minorBidi" w:hAnsiTheme="minorBidi"/>
          <w:sz w:val="22"/>
          <w:szCs w:val="22"/>
          <w:lang w:val="en-GB"/>
        </w:rPr>
        <w:t xml:space="preserve">, </w:t>
      </w:r>
      <w:r w:rsidR="00D53AA3" w:rsidRPr="00D53AA3">
        <w:rPr>
          <w:rFonts w:asciiTheme="minorBidi" w:hAnsiTheme="minorBidi"/>
          <w:sz w:val="22"/>
          <w:szCs w:val="22"/>
          <w:lang w:val="en-GB"/>
        </w:rPr>
        <w:t>UNU Vice-Rectorate in Europe</w:t>
      </w:r>
    </w:p>
    <w:p w14:paraId="7FF8A63E" w14:textId="77777777" w:rsidR="00C743BA" w:rsidRPr="00E54F1A" w:rsidRDefault="00C743BA" w:rsidP="004D37A0">
      <w:pPr>
        <w:spacing w:line="276" w:lineRule="auto"/>
        <w:rPr>
          <w:rFonts w:asciiTheme="minorBidi" w:hAnsiTheme="minorBidi"/>
          <w:b/>
          <w:bCs/>
          <w:sz w:val="22"/>
          <w:szCs w:val="22"/>
          <w:lang w:val="en-GB"/>
        </w:rPr>
      </w:pPr>
      <w:r w:rsidRPr="00E54F1A">
        <w:rPr>
          <w:rFonts w:asciiTheme="minorBidi" w:hAnsiTheme="minorBidi"/>
          <w:b/>
          <w:bCs/>
          <w:sz w:val="22"/>
          <w:szCs w:val="22"/>
          <w:lang w:val="en-GB"/>
        </w:rPr>
        <w:t xml:space="preserve">Closing remarks: </w:t>
      </w:r>
    </w:p>
    <w:p w14:paraId="29E8D398" w14:textId="5658994B" w:rsidR="00C743BA" w:rsidRPr="004D37A0" w:rsidRDefault="00C743BA" w:rsidP="00F8231C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  <w:r w:rsidRPr="004D37A0">
        <w:rPr>
          <w:rFonts w:asciiTheme="minorBidi" w:hAnsiTheme="minorBidi"/>
          <w:sz w:val="22"/>
          <w:szCs w:val="22"/>
          <w:lang w:val="en-GB"/>
        </w:rPr>
        <w:t xml:space="preserve">9. </w:t>
      </w:r>
      <w:r w:rsidR="00F8231C" w:rsidRPr="00F8231C">
        <w:rPr>
          <w:rFonts w:asciiTheme="minorBidi" w:hAnsiTheme="minorBidi"/>
          <w:sz w:val="22"/>
          <w:szCs w:val="22"/>
        </w:rPr>
        <w:t>Michel Forst</w:t>
      </w:r>
      <w:r w:rsidR="00F8231C">
        <w:rPr>
          <w:rFonts w:asciiTheme="minorBidi" w:hAnsiTheme="minorBidi"/>
          <w:sz w:val="22"/>
          <w:szCs w:val="22"/>
          <w:lang w:val="en-GB"/>
        </w:rPr>
        <w:t xml:space="preserve">, </w:t>
      </w:r>
      <w:r w:rsidRPr="004D37A0">
        <w:rPr>
          <w:rFonts w:asciiTheme="minorBidi" w:hAnsiTheme="minorBidi"/>
          <w:sz w:val="22"/>
          <w:szCs w:val="22"/>
          <w:lang w:val="en-GB"/>
        </w:rPr>
        <w:t xml:space="preserve">United Nations Special Rapporteur on Environmental Defenders under the Aarhus Convention </w:t>
      </w:r>
    </w:p>
    <w:p w14:paraId="7023D4BC" w14:textId="13C4F4F8" w:rsidR="00E54F1A" w:rsidRPr="00E54F1A" w:rsidRDefault="00E54F1A" w:rsidP="004D37A0">
      <w:pPr>
        <w:spacing w:line="276" w:lineRule="auto"/>
        <w:rPr>
          <w:rFonts w:asciiTheme="minorBidi" w:hAnsiTheme="minorBidi"/>
          <w:b/>
          <w:bCs/>
          <w:sz w:val="22"/>
          <w:szCs w:val="22"/>
          <w:lang w:val="en-GB"/>
        </w:rPr>
      </w:pPr>
      <w:r w:rsidRPr="00E54F1A">
        <w:rPr>
          <w:rFonts w:asciiTheme="minorBidi" w:hAnsiTheme="minorBidi"/>
          <w:b/>
          <w:bCs/>
          <w:sz w:val="22"/>
          <w:szCs w:val="22"/>
          <w:lang w:val="en-GB"/>
        </w:rPr>
        <w:t>Q&amp;A</w:t>
      </w:r>
    </w:p>
    <w:p w14:paraId="29C038C6" w14:textId="77777777" w:rsidR="003F4BBE" w:rsidRDefault="003F4BBE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</w:p>
    <w:p w14:paraId="41E3C8A5" w14:textId="77777777" w:rsidR="003F4BBE" w:rsidRPr="004D37A0" w:rsidRDefault="003F4BBE" w:rsidP="004D37A0">
      <w:pPr>
        <w:spacing w:line="276" w:lineRule="auto"/>
        <w:rPr>
          <w:rFonts w:asciiTheme="minorBidi" w:hAnsiTheme="minorBidi"/>
          <w:sz w:val="22"/>
          <w:szCs w:val="22"/>
          <w:lang w:val="en-GB"/>
        </w:rPr>
      </w:pPr>
    </w:p>
    <w:sectPr w:rsidR="003F4BBE" w:rsidRPr="004D3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A074" w14:textId="77777777" w:rsidR="001C0BCC" w:rsidRDefault="001C0BCC" w:rsidP="003F4BBE">
      <w:pPr>
        <w:spacing w:after="0" w:line="240" w:lineRule="auto"/>
      </w:pPr>
      <w:r>
        <w:separator/>
      </w:r>
    </w:p>
  </w:endnote>
  <w:endnote w:type="continuationSeparator" w:id="0">
    <w:p w14:paraId="171346E9" w14:textId="77777777" w:rsidR="001C0BCC" w:rsidRDefault="001C0BCC" w:rsidP="003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F5AE" w14:textId="77777777" w:rsidR="001C0BCC" w:rsidRDefault="001C0BCC" w:rsidP="003F4BBE">
      <w:pPr>
        <w:spacing w:after="0" w:line="240" w:lineRule="auto"/>
      </w:pPr>
      <w:r>
        <w:separator/>
      </w:r>
    </w:p>
  </w:footnote>
  <w:footnote w:type="continuationSeparator" w:id="0">
    <w:p w14:paraId="6016A935" w14:textId="77777777" w:rsidR="001C0BCC" w:rsidRDefault="001C0BCC" w:rsidP="003F4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A"/>
    <w:rsid w:val="00123CB7"/>
    <w:rsid w:val="00166A1C"/>
    <w:rsid w:val="001C0BCC"/>
    <w:rsid w:val="001D11F0"/>
    <w:rsid w:val="00272BE3"/>
    <w:rsid w:val="002D6F51"/>
    <w:rsid w:val="002E0DC4"/>
    <w:rsid w:val="00364BBA"/>
    <w:rsid w:val="003A6F2C"/>
    <w:rsid w:val="003B7A64"/>
    <w:rsid w:val="003D18E0"/>
    <w:rsid w:val="003F4BBE"/>
    <w:rsid w:val="00410FF2"/>
    <w:rsid w:val="004B72BC"/>
    <w:rsid w:val="004D1FB4"/>
    <w:rsid w:val="004D37A0"/>
    <w:rsid w:val="00521028"/>
    <w:rsid w:val="00534B4E"/>
    <w:rsid w:val="005700EC"/>
    <w:rsid w:val="00610E42"/>
    <w:rsid w:val="006276D8"/>
    <w:rsid w:val="00661115"/>
    <w:rsid w:val="006B1440"/>
    <w:rsid w:val="006B53F6"/>
    <w:rsid w:val="007266D2"/>
    <w:rsid w:val="007339FA"/>
    <w:rsid w:val="00826A4B"/>
    <w:rsid w:val="008768E5"/>
    <w:rsid w:val="00985F5A"/>
    <w:rsid w:val="009C06BE"/>
    <w:rsid w:val="00C743BA"/>
    <w:rsid w:val="00CC45A7"/>
    <w:rsid w:val="00CC6BE1"/>
    <w:rsid w:val="00D53AA3"/>
    <w:rsid w:val="00D82537"/>
    <w:rsid w:val="00E02F63"/>
    <w:rsid w:val="00E54F1A"/>
    <w:rsid w:val="00F12911"/>
    <w:rsid w:val="00F4195B"/>
    <w:rsid w:val="00F63FC9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C5CB5"/>
  <w15:chartTrackingRefBased/>
  <w15:docId w15:val="{4E48700B-A9A5-48FB-BF28-7CE717D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3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37A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D37A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F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BE"/>
  </w:style>
  <w:style w:type="paragraph" w:styleId="Footer">
    <w:name w:val="footer"/>
    <w:basedOn w:val="Normal"/>
    <w:link w:val="FooterChar"/>
    <w:uiPriority w:val="99"/>
    <w:unhideWhenUsed/>
    <w:rsid w:val="003F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dc:description/>
  <cp:lastModifiedBy>OHCHR</cp:lastModifiedBy>
  <cp:revision>21</cp:revision>
  <dcterms:created xsi:type="dcterms:W3CDTF">2024-11-06T16:41:00Z</dcterms:created>
  <dcterms:modified xsi:type="dcterms:W3CDTF">2024-11-09T09:24:00Z</dcterms:modified>
</cp:coreProperties>
</file>