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49" w:rsidRDefault="00957649" w:rsidP="0072262F">
      <w:pPr>
        <w:spacing w:after="0"/>
        <w:rPr>
          <w:b/>
          <w:bCs/>
        </w:rPr>
      </w:pPr>
    </w:p>
    <w:p w:rsidR="00957649" w:rsidRDefault="00957649" w:rsidP="0072262F">
      <w:pPr>
        <w:spacing w:after="0"/>
        <w:rPr>
          <w:b/>
          <w:bCs/>
        </w:rPr>
      </w:pPr>
    </w:p>
    <w:p w:rsidR="00957649" w:rsidRDefault="00957649" w:rsidP="0072262F">
      <w:pPr>
        <w:spacing w:after="0"/>
        <w:rPr>
          <w:b/>
          <w:bCs/>
        </w:rPr>
      </w:pPr>
    </w:p>
    <w:p w:rsidR="00957649" w:rsidRDefault="00957649" w:rsidP="0072262F">
      <w:pPr>
        <w:spacing w:after="0"/>
        <w:rPr>
          <w:b/>
          <w:bCs/>
        </w:rPr>
      </w:pPr>
    </w:p>
    <w:p w:rsidR="00957649" w:rsidRDefault="00957649" w:rsidP="0072262F">
      <w:pPr>
        <w:spacing w:after="0"/>
        <w:rPr>
          <w:b/>
          <w:bCs/>
        </w:rPr>
      </w:pPr>
    </w:p>
    <w:p w:rsidR="00957649" w:rsidRDefault="00957649" w:rsidP="0072262F">
      <w:pPr>
        <w:spacing w:after="0"/>
        <w:rPr>
          <w:b/>
          <w:bCs/>
        </w:rPr>
      </w:pPr>
    </w:p>
    <w:p w:rsidR="00957649" w:rsidRDefault="00957649" w:rsidP="0072262F">
      <w:pPr>
        <w:spacing w:after="0"/>
        <w:rPr>
          <w:b/>
          <w:bCs/>
        </w:rPr>
      </w:pPr>
    </w:p>
    <w:p w:rsidR="00957649" w:rsidRDefault="00957649" w:rsidP="0072262F">
      <w:pPr>
        <w:spacing w:after="0"/>
        <w:rPr>
          <w:b/>
          <w:bCs/>
        </w:rPr>
      </w:pPr>
    </w:p>
    <w:p w:rsidR="00CB238C" w:rsidRDefault="00957649" w:rsidP="0072262F">
      <w:pPr>
        <w:spacing w:after="0"/>
        <w:rPr>
          <w:b/>
          <w:bCs/>
        </w:rPr>
      </w:pPr>
      <w:r>
        <w:rPr>
          <w:b/>
          <w:bCs/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1184275</wp:posOffset>
            </wp:positionV>
            <wp:extent cx="3204000" cy="687600"/>
            <wp:effectExtent l="0" t="0" r="0" b="0"/>
            <wp:wrapSquare wrapText="bothSides"/>
            <wp:docPr id="1" name="Picture 1" descr="IDRC_300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RC_300_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38C" w:rsidRPr="00CB238C">
        <w:rPr>
          <w:b/>
          <w:bCs/>
        </w:rPr>
        <w:t xml:space="preserve">IDRC-START official </w:t>
      </w:r>
      <w:r w:rsidR="00CB238C">
        <w:rPr>
          <w:b/>
          <w:bCs/>
        </w:rPr>
        <w:t xml:space="preserve">COP 17 </w:t>
      </w:r>
      <w:r w:rsidR="00CB238C" w:rsidRPr="00CB238C">
        <w:rPr>
          <w:b/>
          <w:bCs/>
        </w:rPr>
        <w:t>side event</w:t>
      </w:r>
      <w:r w:rsidR="00CB238C">
        <w:rPr>
          <w:b/>
          <w:bCs/>
        </w:rPr>
        <w:t>:</w:t>
      </w:r>
      <w:r w:rsidRPr="00957649">
        <w:rPr>
          <w:noProof/>
          <w:lang w:eastAsia="en-CA"/>
        </w:rPr>
        <w:t xml:space="preserve"> </w:t>
      </w:r>
    </w:p>
    <w:p w:rsidR="00CB238C" w:rsidRPr="000D1FC7" w:rsidRDefault="00CB238C" w:rsidP="00CB238C">
      <w:pPr>
        <w:rPr>
          <w:b/>
          <w:bCs/>
          <w:sz w:val="36"/>
          <w:szCs w:val="36"/>
        </w:rPr>
      </w:pPr>
      <w:r w:rsidRPr="000D1FC7">
        <w:rPr>
          <w:b/>
          <w:bCs/>
          <w:sz w:val="36"/>
          <w:szCs w:val="36"/>
        </w:rPr>
        <w:t xml:space="preserve">Building the knowledge base for African adaptation choices </w:t>
      </w:r>
    </w:p>
    <w:p w:rsidR="00957649" w:rsidRDefault="00957649" w:rsidP="00CB238C">
      <w:pPr>
        <w:rPr>
          <w:sz w:val="24"/>
          <w:szCs w:val="24"/>
        </w:rPr>
      </w:pPr>
    </w:p>
    <w:p w:rsidR="00CB238C" w:rsidRPr="00957649" w:rsidRDefault="00957649" w:rsidP="00CB238C">
      <w:pPr>
        <w:rPr>
          <w:bCs/>
          <w:sz w:val="24"/>
          <w:szCs w:val="24"/>
        </w:rPr>
      </w:pPr>
      <w:r w:rsidRPr="00957649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65AA7CA9" wp14:editId="587D3E5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95065" cy="2956560"/>
            <wp:effectExtent l="0" t="0" r="635" b="0"/>
            <wp:wrapTight wrapText="bothSides">
              <wp:wrapPolygon edited="0">
                <wp:start x="0" y="0"/>
                <wp:lineTo x="0" y="21433"/>
                <wp:lineTo x="21492" y="21433"/>
                <wp:lineTo x="214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348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38C" w:rsidRPr="00957649">
        <w:rPr>
          <w:sz w:val="24"/>
          <w:szCs w:val="24"/>
        </w:rPr>
        <w:t xml:space="preserve">Africa’s pressing adaptation needs demand evidence-based responses. Join us for lessons from the </w:t>
      </w:r>
      <w:r w:rsidR="00CB238C" w:rsidRPr="000D1FC7">
        <w:rPr>
          <w:b/>
          <w:sz w:val="24"/>
          <w:szCs w:val="24"/>
        </w:rPr>
        <w:t>Climate Change Adaptation in Africa</w:t>
      </w:r>
      <w:r w:rsidR="00CB238C" w:rsidRPr="00957649">
        <w:rPr>
          <w:sz w:val="24"/>
          <w:szCs w:val="24"/>
        </w:rPr>
        <w:t xml:space="preserve"> program</w:t>
      </w:r>
      <w:r w:rsidR="00CB238C" w:rsidRPr="00957649">
        <w:rPr>
          <w:b/>
          <w:bCs/>
          <w:sz w:val="24"/>
          <w:szCs w:val="24"/>
        </w:rPr>
        <w:t xml:space="preserve">, </w:t>
      </w:r>
      <w:r w:rsidR="00CB238C" w:rsidRPr="00957649">
        <w:rPr>
          <w:sz w:val="24"/>
          <w:szCs w:val="24"/>
        </w:rPr>
        <w:t xml:space="preserve">the </w:t>
      </w:r>
      <w:r w:rsidR="00CB238C" w:rsidRPr="000D1FC7">
        <w:rPr>
          <w:b/>
          <w:sz w:val="24"/>
          <w:szCs w:val="24"/>
        </w:rPr>
        <w:t>African Climate Change Fellowship Program</w:t>
      </w:r>
      <w:r w:rsidR="00CB238C" w:rsidRPr="00957649">
        <w:rPr>
          <w:sz w:val="24"/>
          <w:szCs w:val="24"/>
        </w:rPr>
        <w:t xml:space="preserve">, </w:t>
      </w:r>
      <w:proofErr w:type="spellStart"/>
      <w:r w:rsidR="000D1FC7" w:rsidRPr="000D1FC7">
        <w:rPr>
          <w:b/>
          <w:sz w:val="24"/>
          <w:szCs w:val="24"/>
        </w:rPr>
        <w:t>AfricaAdapt</w:t>
      </w:r>
      <w:proofErr w:type="spellEnd"/>
      <w:r w:rsidR="000D1FC7">
        <w:rPr>
          <w:sz w:val="24"/>
          <w:szCs w:val="24"/>
        </w:rPr>
        <w:t xml:space="preserve">, </w:t>
      </w:r>
      <w:r w:rsidR="00CB238C" w:rsidRPr="00957649">
        <w:rPr>
          <w:bCs/>
          <w:sz w:val="24"/>
          <w:szCs w:val="24"/>
        </w:rPr>
        <w:t>and some of our newest efforts</w:t>
      </w:r>
      <w:r w:rsidR="00CB238C" w:rsidRPr="00957649">
        <w:rPr>
          <w:b/>
          <w:bCs/>
          <w:sz w:val="24"/>
          <w:szCs w:val="24"/>
        </w:rPr>
        <w:t xml:space="preserve"> </w:t>
      </w:r>
      <w:r w:rsidR="00CB238C" w:rsidRPr="00957649">
        <w:rPr>
          <w:sz w:val="24"/>
          <w:szCs w:val="24"/>
        </w:rPr>
        <w:t xml:space="preserve">as we share successes and challenges in linking </w:t>
      </w:r>
      <w:r w:rsidR="000D1FC7">
        <w:rPr>
          <w:sz w:val="24"/>
          <w:szCs w:val="24"/>
        </w:rPr>
        <w:t xml:space="preserve">adaptation </w:t>
      </w:r>
      <w:r w:rsidR="00CB238C" w:rsidRPr="00957649">
        <w:rPr>
          <w:sz w:val="24"/>
          <w:szCs w:val="24"/>
        </w:rPr>
        <w:t>research to decision-making.</w:t>
      </w:r>
      <w:r w:rsidR="00CB238C" w:rsidRPr="00957649">
        <w:rPr>
          <w:bCs/>
          <w:sz w:val="24"/>
          <w:szCs w:val="24"/>
        </w:rPr>
        <w:t xml:space="preserve"> </w:t>
      </w:r>
    </w:p>
    <w:p w:rsidR="00957649" w:rsidRDefault="00957649" w:rsidP="00CB238C">
      <w:pPr>
        <w:rPr>
          <w:b/>
          <w:bCs/>
        </w:rPr>
      </w:pPr>
    </w:p>
    <w:p w:rsidR="00957649" w:rsidRDefault="00957649" w:rsidP="00CB238C">
      <w:pPr>
        <w:rPr>
          <w:b/>
          <w:bCs/>
          <w:sz w:val="18"/>
          <w:szCs w:val="18"/>
        </w:rPr>
      </w:pPr>
    </w:p>
    <w:p w:rsidR="00957649" w:rsidRPr="0034068B" w:rsidRDefault="00957649" w:rsidP="00CB238C">
      <w:pPr>
        <w:rPr>
          <w:bCs/>
          <w:sz w:val="18"/>
          <w:szCs w:val="18"/>
        </w:rPr>
      </w:pPr>
      <w:r w:rsidRPr="0034068B">
        <w:rPr>
          <w:bCs/>
          <w:sz w:val="18"/>
          <w:szCs w:val="18"/>
        </w:rPr>
        <w:t xml:space="preserve">Photo: IDRC/Thomas </w:t>
      </w:r>
      <w:proofErr w:type="spellStart"/>
      <w:r w:rsidRPr="0034068B">
        <w:rPr>
          <w:bCs/>
          <w:sz w:val="18"/>
          <w:szCs w:val="18"/>
        </w:rPr>
        <w:t>Omondi</w:t>
      </w:r>
      <w:proofErr w:type="spellEnd"/>
    </w:p>
    <w:p w:rsidR="00957649" w:rsidRPr="00957649" w:rsidRDefault="00957649" w:rsidP="00CB238C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Please join us:</w:t>
      </w:r>
    </w:p>
    <w:p w:rsidR="00CB238C" w:rsidRPr="00957649" w:rsidRDefault="00CB238C" w:rsidP="00CB238C">
      <w:pPr>
        <w:rPr>
          <w:b/>
          <w:bCs/>
          <w:i/>
          <w:sz w:val="24"/>
          <w:szCs w:val="24"/>
        </w:rPr>
      </w:pPr>
      <w:r w:rsidRPr="00957649">
        <w:rPr>
          <w:b/>
          <w:bCs/>
          <w:i/>
          <w:sz w:val="24"/>
          <w:szCs w:val="24"/>
        </w:rPr>
        <w:t xml:space="preserve">Thursday, December 1, 20:15 – 21:45, </w:t>
      </w:r>
      <w:proofErr w:type="spellStart"/>
      <w:r w:rsidR="000B5BA8" w:rsidRPr="00957649">
        <w:rPr>
          <w:b/>
          <w:bCs/>
          <w:i/>
          <w:sz w:val="24"/>
          <w:szCs w:val="24"/>
        </w:rPr>
        <w:t>Levubu</w:t>
      </w:r>
      <w:proofErr w:type="spellEnd"/>
      <w:r w:rsidR="000B5BA8" w:rsidRPr="00957649">
        <w:rPr>
          <w:b/>
          <w:bCs/>
          <w:i/>
          <w:sz w:val="24"/>
          <w:szCs w:val="24"/>
        </w:rPr>
        <w:t xml:space="preserve"> River Room</w:t>
      </w:r>
      <w:r w:rsidRPr="00957649">
        <w:rPr>
          <w:b/>
          <w:bCs/>
          <w:i/>
          <w:sz w:val="24"/>
          <w:szCs w:val="24"/>
        </w:rPr>
        <w:t>, Durban Exhibition Centre</w:t>
      </w:r>
    </w:p>
    <w:p w:rsidR="00D462FF" w:rsidRDefault="00D462FF" w:rsidP="00D462FF">
      <w:pPr>
        <w:rPr>
          <w:b/>
        </w:rPr>
      </w:pPr>
    </w:p>
    <w:p w:rsidR="00D462FF" w:rsidRDefault="00D462FF" w:rsidP="00D462FF">
      <w:pPr>
        <w:rPr>
          <w:b/>
        </w:rPr>
      </w:pPr>
    </w:p>
    <w:p w:rsidR="00957649" w:rsidRDefault="00D462FF" w:rsidP="00D462FF">
      <w:pPr>
        <w:rPr>
          <w:b/>
        </w:rPr>
      </w:pPr>
      <w:r>
        <w:rPr>
          <w:b/>
          <w:noProof/>
          <w:lang w:eastAsia="en-CA"/>
        </w:rPr>
        <w:drawing>
          <wp:inline distT="0" distB="0" distL="0" distR="0" wp14:anchorId="039411D5" wp14:editId="627CC004">
            <wp:extent cx="1394460" cy="5257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ation_logo(small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</w:t>
      </w:r>
      <w:r w:rsidR="000F4C8B">
        <w:rPr>
          <w:b/>
          <w:noProof/>
          <w:lang w:eastAsia="en-CA"/>
        </w:rPr>
        <w:drawing>
          <wp:inline distT="0" distB="0" distL="0" distR="0" wp14:anchorId="52688C97" wp14:editId="0FE66F0D">
            <wp:extent cx="1930400" cy="5719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03" cy="5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649">
        <w:rPr>
          <w:b/>
        </w:rPr>
        <w:br w:type="page"/>
      </w:r>
    </w:p>
    <w:p w:rsidR="00CB238C" w:rsidRPr="00CB238C" w:rsidRDefault="00CB238C" w:rsidP="00CB238C">
      <w:pPr>
        <w:rPr>
          <w:b/>
        </w:rPr>
      </w:pPr>
      <w:r w:rsidRPr="00CB238C">
        <w:rPr>
          <w:b/>
        </w:rPr>
        <w:lastRenderedPageBreak/>
        <w:t>Background:</w:t>
      </w:r>
    </w:p>
    <w:p w:rsidR="007B1691" w:rsidRDefault="00CB238C" w:rsidP="00CB238C">
      <w:r w:rsidRPr="00CB238C">
        <w:t xml:space="preserve">Since its launch in 2006, the Climate Change Adaptation in Africa </w:t>
      </w:r>
      <w:r w:rsidR="000D1FC7">
        <w:t xml:space="preserve">(CCAA) </w:t>
      </w:r>
      <w:r w:rsidRPr="00CB238C">
        <w:t>program</w:t>
      </w:r>
      <w:r w:rsidR="000D1FC7">
        <w:rPr>
          <w:rStyle w:val="FootnoteReference"/>
        </w:rPr>
        <w:footnoteReference w:id="1"/>
      </w:r>
      <w:r w:rsidRPr="00CB238C">
        <w:t xml:space="preserve"> has supported 46 adaptation research and capacity building projects in 33 countries. These projects generated substantial new knowledge on options to reduce vulnerability in</w:t>
      </w:r>
      <w:r w:rsidR="000D1FC7">
        <w:t xml:space="preserve"> a</w:t>
      </w:r>
      <w:r w:rsidRPr="00CB238C">
        <w:t xml:space="preserve"> range of contexts. </w:t>
      </w:r>
    </w:p>
    <w:p w:rsidR="00CB238C" w:rsidRPr="00CB238C" w:rsidRDefault="00CB238C" w:rsidP="00CB238C">
      <w:r w:rsidRPr="00CB238C">
        <w:t xml:space="preserve">Among the additional layers of support the program provided for knowledge building and sharing were the African Climate Change Fellowship Program (ACCFP), led </w:t>
      </w:r>
      <w:r w:rsidR="008358B8">
        <w:t xml:space="preserve">originally </w:t>
      </w:r>
      <w:r w:rsidRPr="00CB238C">
        <w:t xml:space="preserve">by START, and the </w:t>
      </w:r>
      <w:proofErr w:type="spellStart"/>
      <w:r w:rsidRPr="00CB238C">
        <w:t>AfricaAdapt</w:t>
      </w:r>
      <w:proofErr w:type="spellEnd"/>
      <w:r w:rsidRPr="00CB238C">
        <w:t xml:space="preserve"> network, led </w:t>
      </w:r>
      <w:r w:rsidR="008358B8">
        <w:t xml:space="preserve">in its first phase </w:t>
      </w:r>
      <w:r w:rsidRPr="00CB238C">
        <w:t xml:space="preserve">by the Institute of Development Studies. As CCAA concludes, these two key initiatives have been extended for a second phase under African leadership. </w:t>
      </w:r>
      <w:proofErr w:type="spellStart"/>
      <w:r w:rsidR="008358B8">
        <w:t>AfricaAdapt</w:t>
      </w:r>
      <w:proofErr w:type="spellEnd"/>
      <w:r w:rsidR="008358B8">
        <w:t xml:space="preserve"> is now led by ENDA-Tiers Monde, and the ACCFP by the Institute of Resource Assessment at the University of Dar </w:t>
      </w:r>
      <w:proofErr w:type="spellStart"/>
      <w:r w:rsidR="008358B8">
        <w:t>es</w:t>
      </w:r>
      <w:proofErr w:type="spellEnd"/>
      <w:r w:rsidR="008358B8">
        <w:t xml:space="preserve"> Salaam. </w:t>
      </w:r>
      <w:r w:rsidRPr="00CB238C">
        <w:t xml:space="preserve">In 2010, </w:t>
      </w:r>
      <w:r w:rsidR="000D1FC7">
        <w:t xml:space="preserve">the International Development Research Centre </w:t>
      </w:r>
      <w:r w:rsidRPr="00CB238C">
        <w:t>also announced funding for a new research-to-policy initiative to be led by the West and Central African Council for Agricultural Research and Development (WECARD/ CORAF).</w:t>
      </w:r>
    </w:p>
    <w:p w:rsidR="00CB238C" w:rsidRPr="00CB238C" w:rsidRDefault="00CB238C" w:rsidP="00CB238C">
      <w:r w:rsidRPr="00CB238C">
        <w:t>In this panel, we present key le</w:t>
      </w:r>
      <w:r>
        <w:t>ssons</w:t>
      </w:r>
      <w:r w:rsidRPr="00CB238C">
        <w:t xml:space="preserve"> from early phases of the ACCFP and </w:t>
      </w:r>
      <w:proofErr w:type="spellStart"/>
      <w:r w:rsidRPr="00CB238C">
        <w:t>AfricaAdapt</w:t>
      </w:r>
      <w:proofErr w:type="spellEnd"/>
      <w:r w:rsidRPr="00CB238C">
        <w:t xml:space="preserve"> and their latest directions; we introduce WECARD’s plans for synthesizing and sharing research-based evidence on adaptation to inform decisions; and we welcome audience input on approaches to maximize the contribution of these latest efforts.</w:t>
      </w:r>
    </w:p>
    <w:p w:rsidR="00CB238C" w:rsidRPr="00CB238C" w:rsidRDefault="00CB238C" w:rsidP="00CB238C">
      <w:r w:rsidRPr="00CB238C">
        <w:rPr>
          <w:b/>
          <w:bCs/>
        </w:rPr>
        <w:t>Speakers:</w:t>
      </w:r>
    </w:p>
    <w:p w:rsidR="00CB238C" w:rsidRDefault="00CB238C" w:rsidP="00287186">
      <w:pPr>
        <w:numPr>
          <w:ilvl w:val="0"/>
          <w:numId w:val="3"/>
        </w:numPr>
        <w:spacing w:after="0"/>
      </w:pPr>
      <w:r w:rsidRPr="00CB238C">
        <w:rPr>
          <w:i/>
        </w:rPr>
        <w:t>Dr. Fatima Denton, Program Leader, Climate Change Adaptation in Africa, International Development Research Centre</w:t>
      </w:r>
      <w:r w:rsidRPr="00CB238C">
        <w:t xml:space="preserve"> </w:t>
      </w:r>
    </w:p>
    <w:p w:rsidR="00287186" w:rsidRPr="00287186" w:rsidRDefault="00287186" w:rsidP="00287186">
      <w:pPr>
        <w:ind w:left="360"/>
        <w:rPr>
          <w:b/>
        </w:rPr>
      </w:pPr>
      <w:r w:rsidRPr="00287186">
        <w:rPr>
          <w:b/>
        </w:rPr>
        <w:t>CCAA contributions to building adaptive knowledge</w:t>
      </w:r>
    </w:p>
    <w:p w:rsidR="00CB238C" w:rsidRDefault="00CB238C" w:rsidP="00287186">
      <w:pPr>
        <w:numPr>
          <w:ilvl w:val="0"/>
          <w:numId w:val="3"/>
        </w:numPr>
        <w:spacing w:after="0" w:line="240" w:lineRule="auto"/>
        <w:rPr>
          <w:i/>
        </w:rPr>
      </w:pPr>
      <w:r w:rsidRPr="00CB238C">
        <w:rPr>
          <w:i/>
        </w:rPr>
        <w:t xml:space="preserve">Dr. Felix </w:t>
      </w:r>
      <w:proofErr w:type="spellStart"/>
      <w:r w:rsidRPr="00CB238C">
        <w:rPr>
          <w:i/>
        </w:rPr>
        <w:t>Olorunfemi</w:t>
      </w:r>
      <w:proofErr w:type="spellEnd"/>
      <w:r w:rsidRPr="00CB238C">
        <w:rPr>
          <w:i/>
        </w:rPr>
        <w:t xml:space="preserve">, former ACCFP Policy Fellow Alumnus and Research Fellow from the Nigerian Institute of Social and Economic Research </w:t>
      </w:r>
    </w:p>
    <w:p w:rsidR="00287186" w:rsidRDefault="00287186" w:rsidP="00287186">
      <w:pPr>
        <w:spacing w:after="0" w:line="240" w:lineRule="auto"/>
        <w:ind w:left="360"/>
        <w:rPr>
          <w:b/>
        </w:rPr>
      </w:pPr>
      <w:r>
        <w:rPr>
          <w:b/>
        </w:rPr>
        <w:t>Reflections</w:t>
      </w:r>
      <w:r w:rsidRPr="00287186">
        <w:rPr>
          <w:b/>
        </w:rPr>
        <w:t xml:space="preserve"> from an African Climate Change Fellow</w:t>
      </w:r>
    </w:p>
    <w:p w:rsidR="0072262F" w:rsidRDefault="0072262F" w:rsidP="00287186">
      <w:pPr>
        <w:spacing w:after="0" w:line="240" w:lineRule="auto"/>
        <w:ind w:left="360"/>
        <w:rPr>
          <w:b/>
        </w:rPr>
      </w:pPr>
    </w:p>
    <w:p w:rsidR="00CB238C" w:rsidRPr="00CB238C" w:rsidRDefault="00CB238C" w:rsidP="0072262F">
      <w:pPr>
        <w:numPr>
          <w:ilvl w:val="0"/>
          <w:numId w:val="3"/>
        </w:numPr>
        <w:spacing w:after="0"/>
        <w:rPr>
          <w:i/>
        </w:rPr>
      </w:pPr>
      <w:proofErr w:type="spellStart"/>
      <w:r w:rsidRPr="00CB238C">
        <w:rPr>
          <w:i/>
        </w:rPr>
        <w:t>Dr</w:t>
      </w:r>
      <w:proofErr w:type="spellEnd"/>
      <w:r w:rsidRPr="00CB238C">
        <w:rPr>
          <w:i/>
        </w:rPr>
        <w:t xml:space="preserve"> </w:t>
      </w:r>
      <w:proofErr w:type="spellStart"/>
      <w:r w:rsidRPr="00CB238C">
        <w:rPr>
          <w:i/>
        </w:rPr>
        <w:t>Chipo</w:t>
      </w:r>
      <w:proofErr w:type="spellEnd"/>
      <w:r w:rsidRPr="00CB238C">
        <w:rPr>
          <w:i/>
        </w:rPr>
        <w:t xml:space="preserve"> </w:t>
      </w:r>
      <w:proofErr w:type="spellStart"/>
      <w:r w:rsidRPr="00CB238C">
        <w:rPr>
          <w:i/>
        </w:rPr>
        <w:t>Mubaya</w:t>
      </w:r>
      <w:proofErr w:type="spellEnd"/>
      <w:r w:rsidRPr="00CB238C">
        <w:rPr>
          <w:i/>
        </w:rPr>
        <w:t xml:space="preserve">, </w:t>
      </w:r>
      <w:r w:rsidR="0072262F">
        <w:rPr>
          <w:i/>
        </w:rPr>
        <w:t xml:space="preserve">Institute of Resource Assessment, </w:t>
      </w:r>
      <w:r w:rsidRPr="00CB238C">
        <w:rPr>
          <w:i/>
        </w:rPr>
        <w:t>Senior Program Officer for the ACCFP Secretariat and ACCFP Doctoral Fellow Alumna</w:t>
      </w:r>
    </w:p>
    <w:p w:rsidR="00CB238C" w:rsidRDefault="0072262F" w:rsidP="0072262F">
      <w:pPr>
        <w:spacing w:after="0"/>
        <w:ind w:left="360"/>
        <w:rPr>
          <w:b/>
        </w:rPr>
      </w:pPr>
      <w:proofErr w:type="gramStart"/>
      <w:r w:rsidRPr="0072262F">
        <w:rPr>
          <w:b/>
        </w:rPr>
        <w:t>Phase</w:t>
      </w:r>
      <w:proofErr w:type="gramEnd"/>
      <w:r w:rsidRPr="0072262F">
        <w:rPr>
          <w:b/>
        </w:rPr>
        <w:t xml:space="preserve"> Two of the African Climate Change Fellowships Program</w:t>
      </w:r>
    </w:p>
    <w:p w:rsidR="0072262F" w:rsidRPr="0072262F" w:rsidRDefault="0072262F" w:rsidP="0072262F">
      <w:pPr>
        <w:spacing w:after="0"/>
        <w:ind w:left="360"/>
        <w:rPr>
          <w:b/>
        </w:rPr>
      </w:pPr>
    </w:p>
    <w:p w:rsidR="00CB238C" w:rsidRDefault="00CB238C" w:rsidP="0072262F">
      <w:pPr>
        <w:numPr>
          <w:ilvl w:val="0"/>
          <w:numId w:val="3"/>
        </w:numPr>
        <w:spacing w:after="0"/>
        <w:rPr>
          <w:i/>
          <w:lang w:val="fr-CA"/>
        </w:rPr>
      </w:pPr>
      <w:bookmarkStart w:id="0" w:name="_GoBack"/>
      <w:r w:rsidRPr="000B5BA8">
        <w:rPr>
          <w:i/>
          <w:lang w:val="fr-CA"/>
        </w:rPr>
        <w:t xml:space="preserve">Moussa Na Abou </w:t>
      </w:r>
      <w:proofErr w:type="spellStart"/>
      <w:r w:rsidRPr="000B5BA8">
        <w:rPr>
          <w:i/>
          <w:lang w:val="fr-CA"/>
        </w:rPr>
        <w:t>Mamouda</w:t>
      </w:r>
      <w:proofErr w:type="spellEnd"/>
      <w:r w:rsidRPr="000B5BA8">
        <w:rPr>
          <w:i/>
          <w:lang w:val="fr-CA"/>
        </w:rPr>
        <w:t xml:space="preserve">, </w:t>
      </w:r>
      <w:r w:rsidR="008358B8" w:rsidRPr="000B5BA8">
        <w:rPr>
          <w:i/>
          <w:lang w:val="fr-CA"/>
        </w:rPr>
        <w:t xml:space="preserve">ENDA – Tiers Monde, </w:t>
      </w:r>
      <w:r w:rsidRPr="000B5BA8">
        <w:rPr>
          <w:i/>
          <w:lang w:val="fr-CA"/>
        </w:rPr>
        <w:t xml:space="preserve">Network </w:t>
      </w:r>
      <w:proofErr w:type="spellStart"/>
      <w:r w:rsidRPr="000B5BA8">
        <w:rPr>
          <w:i/>
          <w:lang w:val="fr-CA"/>
        </w:rPr>
        <w:t>Coordinator</w:t>
      </w:r>
      <w:proofErr w:type="spellEnd"/>
      <w:r w:rsidRPr="000B5BA8">
        <w:rPr>
          <w:i/>
          <w:lang w:val="fr-CA"/>
        </w:rPr>
        <w:t xml:space="preserve">, </w:t>
      </w:r>
      <w:proofErr w:type="spellStart"/>
      <w:r w:rsidRPr="000B5BA8">
        <w:rPr>
          <w:i/>
          <w:lang w:val="fr-CA"/>
        </w:rPr>
        <w:t>AfricaAdapt</w:t>
      </w:r>
      <w:proofErr w:type="spellEnd"/>
    </w:p>
    <w:bookmarkEnd w:id="0"/>
    <w:p w:rsidR="0072262F" w:rsidRDefault="0072262F" w:rsidP="0072262F">
      <w:pPr>
        <w:spacing w:after="0"/>
        <w:ind w:left="360"/>
        <w:rPr>
          <w:b/>
        </w:rPr>
      </w:pPr>
      <w:r w:rsidRPr="0072262F">
        <w:rPr>
          <w:b/>
        </w:rPr>
        <w:t xml:space="preserve">Sharing knowledge through networking – Building on the </w:t>
      </w:r>
      <w:proofErr w:type="spellStart"/>
      <w:r w:rsidRPr="0072262F">
        <w:rPr>
          <w:b/>
        </w:rPr>
        <w:t>AfricaAdapt</w:t>
      </w:r>
      <w:proofErr w:type="spellEnd"/>
      <w:r w:rsidRPr="0072262F">
        <w:rPr>
          <w:b/>
        </w:rPr>
        <w:t xml:space="preserve"> experience </w:t>
      </w:r>
    </w:p>
    <w:p w:rsidR="00957649" w:rsidRPr="0072262F" w:rsidRDefault="00957649" w:rsidP="0072262F">
      <w:pPr>
        <w:spacing w:after="0"/>
        <w:ind w:left="360"/>
        <w:rPr>
          <w:b/>
        </w:rPr>
      </w:pPr>
    </w:p>
    <w:p w:rsidR="00CB238C" w:rsidRDefault="00CB238C" w:rsidP="000F4C8B">
      <w:pPr>
        <w:numPr>
          <w:ilvl w:val="0"/>
          <w:numId w:val="3"/>
        </w:numPr>
        <w:spacing w:after="0"/>
        <w:rPr>
          <w:i/>
        </w:rPr>
      </w:pPr>
      <w:r w:rsidRPr="00CB238C">
        <w:rPr>
          <w:i/>
        </w:rPr>
        <w:t xml:space="preserve">Dr. </w:t>
      </w:r>
      <w:proofErr w:type="spellStart"/>
      <w:r w:rsidRPr="00CB238C">
        <w:rPr>
          <w:i/>
        </w:rPr>
        <w:t>Abdulai</w:t>
      </w:r>
      <w:proofErr w:type="spellEnd"/>
      <w:r w:rsidRPr="00CB238C">
        <w:rPr>
          <w:i/>
        </w:rPr>
        <w:t xml:space="preserve"> </w:t>
      </w:r>
      <w:proofErr w:type="spellStart"/>
      <w:r w:rsidRPr="00CB238C">
        <w:rPr>
          <w:i/>
        </w:rPr>
        <w:t>Jalloh</w:t>
      </w:r>
      <w:proofErr w:type="spellEnd"/>
      <w:r w:rsidRPr="00CB238C">
        <w:rPr>
          <w:i/>
        </w:rPr>
        <w:t>, West and Central African Council for Agricultural Research and Development</w:t>
      </w:r>
    </w:p>
    <w:p w:rsidR="000F4C8B" w:rsidRPr="000F4C8B" w:rsidRDefault="000F4C8B" w:rsidP="000F4C8B">
      <w:pPr>
        <w:ind w:left="360"/>
        <w:rPr>
          <w:b/>
        </w:rPr>
      </w:pPr>
      <w:r w:rsidRPr="000F4C8B">
        <w:rPr>
          <w:b/>
        </w:rPr>
        <w:t>Introducing a new</w:t>
      </w:r>
      <w:r>
        <w:rPr>
          <w:b/>
        </w:rPr>
        <w:t xml:space="preserve"> research-to-policy </w:t>
      </w:r>
      <w:r w:rsidRPr="000F4C8B">
        <w:rPr>
          <w:b/>
        </w:rPr>
        <w:t>p</w:t>
      </w:r>
      <w:r>
        <w:rPr>
          <w:b/>
        </w:rPr>
        <w:t>latform on adaptation and agriculture</w:t>
      </w:r>
      <w:r w:rsidRPr="000F4C8B">
        <w:rPr>
          <w:b/>
        </w:rPr>
        <w:t xml:space="preserve"> in Africa</w:t>
      </w:r>
    </w:p>
    <w:p w:rsidR="00CB238C" w:rsidRPr="00CB238C" w:rsidRDefault="00CB238C" w:rsidP="00CB238C">
      <w:pPr>
        <w:spacing w:after="0"/>
        <w:ind w:left="1080"/>
      </w:pPr>
    </w:p>
    <w:p w:rsidR="00451E86" w:rsidRDefault="005A43C5" w:rsidP="00CB238C"/>
    <w:sectPr w:rsidR="00451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C5" w:rsidRDefault="005A43C5" w:rsidP="000D1FC7">
      <w:pPr>
        <w:spacing w:after="0" w:line="240" w:lineRule="auto"/>
      </w:pPr>
      <w:r>
        <w:separator/>
      </w:r>
    </w:p>
  </w:endnote>
  <w:endnote w:type="continuationSeparator" w:id="0">
    <w:p w:rsidR="005A43C5" w:rsidRDefault="005A43C5" w:rsidP="000D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C5" w:rsidRDefault="005A43C5" w:rsidP="000D1FC7">
      <w:pPr>
        <w:spacing w:after="0" w:line="240" w:lineRule="auto"/>
      </w:pPr>
      <w:r>
        <w:separator/>
      </w:r>
    </w:p>
  </w:footnote>
  <w:footnote w:type="continuationSeparator" w:id="0">
    <w:p w:rsidR="005A43C5" w:rsidRDefault="005A43C5" w:rsidP="000D1FC7">
      <w:pPr>
        <w:spacing w:after="0" w:line="240" w:lineRule="auto"/>
      </w:pPr>
      <w:r>
        <w:continuationSeparator/>
      </w:r>
    </w:p>
  </w:footnote>
  <w:footnote w:id="1">
    <w:p w:rsidR="000D1FC7" w:rsidRDefault="000D1F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1FC7">
        <w:t>The Climate Change Adaptation in Africa (CCAA) research and capacity development program is jointly funded by IDRC and the United Kingdom’s Department for International Development (DFID).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2667"/>
    <w:multiLevelType w:val="hybridMultilevel"/>
    <w:tmpl w:val="DAB609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BD5954"/>
    <w:multiLevelType w:val="hybridMultilevel"/>
    <w:tmpl w:val="8C645C00"/>
    <w:lvl w:ilvl="0" w:tplc="3B8850F8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A437DF"/>
    <w:multiLevelType w:val="hybridMultilevel"/>
    <w:tmpl w:val="59BE41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602773"/>
    <w:multiLevelType w:val="hybridMultilevel"/>
    <w:tmpl w:val="4856698E"/>
    <w:lvl w:ilvl="0" w:tplc="3B8850F8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2C6FF7"/>
    <w:multiLevelType w:val="hybridMultilevel"/>
    <w:tmpl w:val="3B963CBA"/>
    <w:lvl w:ilvl="0" w:tplc="3B8850F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87F18"/>
    <w:multiLevelType w:val="hybridMultilevel"/>
    <w:tmpl w:val="30D600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33E"/>
    <w:multiLevelType w:val="hybridMultilevel"/>
    <w:tmpl w:val="8B3A97D0"/>
    <w:lvl w:ilvl="0" w:tplc="711E0B8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8C"/>
    <w:rsid w:val="000253CB"/>
    <w:rsid w:val="000B5BA8"/>
    <w:rsid w:val="000D1FC7"/>
    <w:rsid w:val="000F4C8B"/>
    <w:rsid w:val="00196B36"/>
    <w:rsid w:val="00287186"/>
    <w:rsid w:val="0034068B"/>
    <w:rsid w:val="003F466C"/>
    <w:rsid w:val="005A43C5"/>
    <w:rsid w:val="0072262F"/>
    <w:rsid w:val="007B1691"/>
    <w:rsid w:val="008358B8"/>
    <w:rsid w:val="00957649"/>
    <w:rsid w:val="00C06BB0"/>
    <w:rsid w:val="00CB238C"/>
    <w:rsid w:val="00D462FF"/>
    <w:rsid w:val="00E41C5B"/>
    <w:rsid w:val="00E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38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F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F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F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38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F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F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2525-0822-4727-9FFF-6EB527C9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IDRC CRDI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IDRC CRDI</dc:creator>
  <cp:keywords/>
  <dc:description/>
  <cp:lastModifiedBy>IDRC CRDI</cp:lastModifiedBy>
  <cp:revision>2</cp:revision>
  <cp:lastPrinted>2011-11-18T21:17:00Z</cp:lastPrinted>
  <dcterms:created xsi:type="dcterms:W3CDTF">2011-11-24T20:43:00Z</dcterms:created>
  <dcterms:modified xsi:type="dcterms:W3CDTF">2011-11-24T20:43:00Z</dcterms:modified>
</cp:coreProperties>
</file>