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80F" w:rsidRDefault="0010534C">
      <w:r>
        <w:rPr>
          <w:noProof/>
        </w:rPr>
        <w:drawing>
          <wp:anchor distT="0" distB="0" distL="114300" distR="114300" simplePos="0" relativeHeight="251646973" behindDoc="1" locked="0" layoutInCell="1" allowOverlap="1">
            <wp:simplePos x="0" y="0"/>
            <wp:positionH relativeFrom="column">
              <wp:posOffset>-809625</wp:posOffset>
            </wp:positionH>
            <wp:positionV relativeFrom="paragraph">
              <wp:posOffset>771525</wp:posOffset>
            </wp:positionV>
            <wp:extent cx="7008495" cy="1619250"/>
            <wp:effectExtent l="19050" t="0" r="1905" b="0"/>
            <wp:wrapTight wrapText="bothSides">
              <wp:wrapPolygon edited="0">
                <wp:start x="-59" y="0"/>
                <wp:lineTo x="-59" y="21346"/>
                <wp:lineTo x="21606" y="21346"/>
                <wp:lineTo x="21606" y="0"/>
                <wp:lineTo x="-59" y="0"/>
              </wp:wrapPolygon>
            </wp:wrapTight>
            <wp:docPr id="3" name="Picture 1" descr="Next Steps_Re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Steps_Reuters.jpg"/>
                    <pic:cNvPicPr/>
                  </pic:nvPicPr>
                  <pic:blipFill>
                    <a:blip r:embed="rId8"/>
                    <a:stretch>
                      <a:fillRect/>
                    </a:stretch>
                  </pic:blipFill>
                  <pic:spPr>
                    <a:xfrm>
                      <a:off x="0" y="0"/>
                      <a:ext cx="7008495" cy="1619250"/>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_x0000_s1042" type="#_x0000_t202" style="position:absolute;margin-left:-72.75pt;margin-top:93.9pt;width:320.7pt;height:34.5pt;z-index:251693056;mso-wrap-edited:f;mso-position-horizontal-relative:text;mso-position-vertical-relative:text" wrapcoords="0 0 21600 0 21600 21600 0 21600 0 0" filled="f" stroked="f">
            <v:fill o:detectmouseclick="t"/>
            <v:textbox style="mso-next-textbox:#_x0000_s1042" inset="0,0,0,0">
              <w:txbxContent>
                <w:p w:rsidR="005E4E7C" w:rsidRPr="0010534C" w:rsidRDefault="005E4E7C" w:rsidP="0010534C">
                  <w:pPr>
                    <w:rPr>
                      <w:szCs w:val="32"/>
                    </w:rPr>
                  </w:pPr>
                </w:p>
              </w:txbxContent>
            </v:textbox>
            <w10:wrap type="tight"/>
          </v:shape>
        </w:pict>
      </w:r>
      <w:r>
        <w:rPr>
          <w:noProof/>
        </w:rPr>
        <w:drawing>
          <wp:anchor distT="0" distB="0" distL="114300" distR="114300" simplePos="0" relativeHeight="251688960" behindDoc="0" locked="0" layoutInCell="1" allowOverlap="1">
            <wp:simplePos x="0" y="0"/>
            <wp:positionH relativeFrom="column">
              <wp:posOffset>-445135</wp:posOffset>
            </wp:positionH>
            <wp:positionV relativeFrom="paragraph">
              <wp:posOffset>-39370</wp:posOffset>
            </wp:positionV>
            <wp:extent cx="2005330" cy="417195"/>
            <wp:effectExtent l="19050" t="0" r="0" b="0"/>
            <wp:wrapTight wrapText="bothSides">
              <wp:wrapPolygon edited="0">
                <wp:start x="-205" y="0"/>
                <wp:lineTo x="-205" y="20712"/>
                <wp:lineTo x="15184" y="20712"/>
                <wp:lineTo x="15389" y="20712"/>
                <wp:lineTo x="17031" y="15781"/>
                <wp:lineTo x="21545" y="15781"/>
                <wp:lineTo x="21545" y="9863"/>
                <wp:lineTo x="17647" y="0"/>
                <wp:lineTo x="-205" y="0"/>
              </wp:wrapPolygon>
            </wp:wrapTight>
            <wp:docPr id="8" name="Picture 0" descr="IFC_Logo_Eng_White_Hor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_Logo_Eng_White_Horz.gif"/>
                    <pic:cNvPicPr/>
                  </pic:nvPicPr>
                  <pic:blipFill>
                    <a:blip r:embed="rId9"/>
                    <a:stretch>
                      <a:fillRect/>
                    </a:stretch>
                  </pic:blipFill>
                  <pic:spPr>
                    <a:xfrm>
                      <a:off x="0" y="0"/>
                      <a:ext cx="2005330" cy="417195"/>
                    </a:xfrm>
                    <a:prstGeom prst="rect">
                      <a:avLst/>
                    </a:prstGeom>
                  </pic:spPr>
                </pic:pic>
              </a:graphicData>
            </a:graphic>
          </wp:anchor>
        </w:drawing>
      </w:r>
      <w:r>
        <w:rPr>
          <w:noProof/>
        </w:rPr>
        <w:drawing>
          <wp:inline distT="0" distB="0" distL="0" distR="0">
            <wp:extent cx="304800" cy="618744"/>
            <wp:effectExtent l="19050" t="0" r="0" b="0"/>
            <wp:docPr id="5" name="Picture 4" descr="UNDP%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20Logo.jpg"/>
                    <pic:cNvPicPr/>
                  </pic:nvPicPr>
                  <pic:blipFill>
                    <a:blip r:embed="rId10"/>
                    <a:stretch>
                      <a:fillRect/>
                    </a:stretch>
                  </pic:blipFill>
                  <pic:spPr>
                    <a:xfrm>
                      <a:off x="0" y="0"/>
                      <a:ext cx="304800" cy="618744"/>
                    </a:xfrm>
                    <a:prstGeom prst="rect">
                      <a:avLst/>
                    </a:prstGeom>
                  </pic:spPr>
                </pic:pic>
              </a:graphicData>
            </a:graphic>
          </wp:inline>
        </w:drawing>
      </w:r>
      <w:r>
        <w:rPr>
          <w:noProof/>
        </w:rPr>
        <w:drawing>
          <wp:inline distT="0" distB="0" distL="0" distR="0">
            <wp:extent cx="304800" cy="618744"/>
            <wp:effectExtent l="19050" t="0" r="0" b="0"/>
            <wp:docPr id="6" name="Picture 5" descr="UNDP%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20Logo.jpg"/>
                    <pic:cNvPicPr/>
                  </pic:nvPicPr>
                  <pic:blipFill>
                    <a:blip r:embed="rId10"/>
                    <a:stretch>
                      <a:fillRect/>
                    </a:stretch>
                  </pic:blipFill>
                  <pic:spPr>
                    <a:xfrm>
                      <a:off x="0" y="0"/>
                      <a:ext cx="304800" cy="618744"/>
                    </a:xfrm>
                    <a:prstGeom prst="rect">
                      <a:avLst/>
                    </a:prstGeom>
                  </pic:spPr>
                </pic:pic>
              </a:graphicData>
            </a:graphic>
          </wp:inline>
        </w:drawing>
      </w:r>
      <w:r>
        <w:rPr>
          <w:noProof/>
        </w:rPr>
        <w:pict>
          <v:rect id="_x0000_s1037" style="position:absolute;margin-left:-64.25pt;margin-top:-41.15pt;width:552.7pt;height:89.5pt;z-index:251681792;mso-wrap-edited:f;mso-position-horizontal-relative:text;mso-position-vertical-relative:text" wrapcoords="-45 -360 -45 21240 21645 21240 21645 -360 -45 -360" fillcolor="#17365d" stroked="f" strokecolor="#4a7ebb" strokeweight="1.5pt">
            <v:fill o:detectmouseclick="t"/>
            <v:shadow opacity="22938f" offset="0"/>
            <v:textbox inset=",7.2pt,,7.2pt"/>
            <w10:wrap type="tight"/>
          </v:rect>
        </w:pict>
      </w:r>
      <w:r w:rsidR="00F33DCD">
        <w:rPr>
          <w:noProof/>
        </w:rPr>
        <w:pict>
          <v:shape id="_x0000_s1033" type="#_x0000_t202" style="position:absolute;margin-left:-62pt;margin-top:0;width:267.35pt;height:435.1pt;z-index:251664384;mso-position-horizontal-relative:text;mso-position-vertical-relative:text" filled="f" stroked="f">
            <v:textbox style="mso-next-textbox:#_x0000_s1033">
              <w:txbxContent>
                <w:p w:rsidR="005E4E7C" w:rsidRPr="00EC0FC2" w:rsidRDefault="005E4E7C" w:rsidP="003A4A06">
                  <w:pPr>
                    <w:pStyle w:val="1-BodyHeader"/>
                    <w:spacing w:after="160"/>
                    <w:jc w:val="both"/>
                    <w:rPr>
                      <w:rFonts w:ascii="Calibri" w:hAnsi="Calibri"/>
                      <w:color w:val="0070C0"/>
                      <w:sz w:val="28"/>
                      <w:szCs w:val="28"/>
                    </w:rPr>
                  </w:pPr>
                  <w:r w:rsidRPr="00EC0FC2">
                    <w:rPr>
                      <w:rFonts w:ascii="Calibri" w:hAnsi="Calibri"/>
                      <w:color w:val="0070C0"/>
                      <w:sz w:val="28"/>
                      <w:szCs w:val="28"/>
                    </w:rPr>
                    <w:t>How does IFC work with firms on Climate Business?</w:t>
                  </w:r>
                </w:p>
              </w:txbxContent>
            </v:textbox>
          </v:shape>
        </w:pict>
      </w:r>
      <w:r w:rsidR="00F33DCD">
        <w:rPr>
          <w:noProof/>
        </w:rPr>
        <w:pict>
          <v:shape id="_x0000_s1040" type="#_x0000_t202" style="position:absolute;margin-left:214.5pt;margin-top:41.65pt;width:271.15pt;height:363.6pt;z-index:251691008;mso-position-horizontal-relative:text;mso-position-vertical-relative:text" filled="f" stroked="f">
            <v:textbox style="mso-next-textbox:#_x0000_s1040">
              <w:txbxContent>
                <w:p w:rsidR="005E4E7C" w:rsidRPr="0010534C" w:rsidRDefault="005E4E7C" w:rsidP="0010534C">
                  <w:pPr>
                    <w:rPr>
                      <w:szCs w:val="21"/>
                    </w:rPr>
                  </w:pPr>
                </w:p>
              </w:txbxContent>
            </v:textbox>
          </v:shape>
        </w:pict>
      </w:r>
      <w:r w:rsidR="00F33DCD">
        <w:rPr>
          <w:noProof/>
        </w:rPr>
        <w:pict>
          <v:shape id="_x0000_s1035" type="#_x0000_t202" style="position:absolute;margin-left:-64.25pt;margin-top:128.4pt;width:552pt;height:115.45pt;z-index:251677696;mso-wrap-edited:f;mso-position-horizontal-relative:text;mso-position-vertical-relative:text" wrapcoords="0 0 21600 0 21600 21600 0 21600 0 0" filled="f" stroked="f">
            <v:fill o:detectmouseclick="t"/>
            <v:textbox style="mso-next-textbox:#_x0000_s1035" inset="0,0,0,0">
              <w:txbxContent>
                <w:p w:rsidR="005E4E7C" w:rsidRPr="0010534C" w:rsidRDefault="005E4E7C" w:rsidP="0010534C">
                  <w:pPr>
                    <w:rPr>
                      <w:szCs w:val="21"/>
                    </w:rPr>
                  </w:pPr>
                </w:p>
              </w:txbxContent>
            </v:textbox>
            <w10:wrap type="tight"/>
          </v:shape>
        </w:pict>
      </w:r>
      <w:r w:rsidR="00F33DCD">
        <w:rPr>
          <w:noProof/>
        </w:rPr>
        <w:pict>
          <v:rect id="_x0000_s1032" style="position:absolute;margin-left:-64.25pt;margin-top:248pt;width:552.7pt;height:435.1pt;z-index:251663360;mso-wrap-edited:f;mso-position-horizontal-relative:text;mso-position-vertical-relative:text" wrapcoords="-80 0 -80 21306 21600 21306 21600 0 -80 0" fillcolor="#dbe5f1 [660]" stroked="f" strokecolor="#4a7ebb" strokeweight="1.5pt">
            <v:fill o:detectmouseclick="t"/>
            <v:shadow opacity="22938f" offset="0"/>
            <v:textbox inset=",7.2pt,,7.2pt"/>
            <w10:wrap type="tight"/>
          </v:rect>
        </w:pict>
      </w:r>
      <w:r w:rsidR="00F33DCD">
        <w:rPr>
          <w:noProof/>
        </w:rPr>
        <w:pict>
          <v:shape id="_x0000_s1043" type="#_x0000_t202" style="position:absolute;margin-left:-12.2pt;margin-top:87.95pt;width:198.95pt;height:34.5pt;z-index:251694080;mso-wrap-edited:f;mso-position-horizontal-relative:text;mso-position-vertical-relative:text" wrapcoords="0 0 21600 0 21600 21600 0 21600 0 0" filled="f" stroked="f">
            <v:fill o:detectmouseclick="t"/>
            <v:textbox style="mso-next-textbox:#_x0000_s1043" inset="0,0,0,0">
              <w:txbxContent>
                <w:p w:rsidR="005E4E7C" w:rsidRPr="0010534C" w:rsidRDefault="005E4E7C" w:rsidP="0010534C">
                  <w:pPr>
                    <w:rPr>
                      <w:szCs w:val="32"/>
                    </w:rPr>
                  </w:pPr>
                </w:p>
              </w:txbxContent>
            </v:textbox>
            <w10:wrap type="tight"/>
          </v:shape>
        </w:pict>
      </w:r>
      <w:r w:rsidRPr="0010534C">
        <w:drawing>
          <wp:inline distT="0" distB="0" distL="0" distR="0">
            <wp:extent cx="908413" cy="1843162"/>
            <wp:effectExtent l="19050" t="0" r="5987" b="0"/>
            <wp:docPr id="4" name="Picture 0" descr="UNDP%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20Logo.jpg"/>
                    <pic:cNvPicPr/>
                  </pic:nvPicPr>
                  <pic:blipFill>
                    <a:blip r:embed="rId10"/>
                    <a:stretch>
                      <a:fillRect/>
                    </a:stretch>
                  </pic:blipFill>
                  <pic:spPr>
                    <a:xfrm>
                      <a:off x="0" y="0"/>
                      <a:ext cx="927339" cy="1881562"/>
                    </a:xfrm>
                    <a:prstGeom prst="rect">
                      <a:avLst/>
                    </a:prstGeom>
                  </pic:spPr>
                </pic:pic>
              </a:graphicData>
            </a:graphic>
          </wp:inline>
        </w:drawing>
      </w:r>
      <w:r w:rsidR="00053D72">
        <w:rPr>
          <w:noProof/>
        </w:rPr>
        <w:lastRenderedPageBreak/>
        <w:drawing>
          <wp:inline distT="0" distB="0" distL="0" distR="0">
            <wp:extent cx="5486400" cy="1262017"/>
            <wp:effectExtent l="19050" t="0" r="0" b="0"/>
            <wp:docPr id="2" name="Picture 2" descr="C:\Users\cfigueredo\AppData\Local\Temp\notes68CFE7\banner_ourWorkFi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igueredo\AppData\Local\Temp\notes68CFE7\banner_ourWorkFirms.jpg"/>
                    <pic:cNvPicPr>
                      <a:picLocks noChangeAspect="1" noChangeArrowheads="1"/>
                    </pic:cNvPicPr>
                  </pic:nvPicPr>
                  <pic:blipFill>
                    <a:blip r:embed="rId11"/>
                    <a:srcRect/>
                    <a:stretch>
                      <a:fillRect/>
                    </a:stretch>
                  </pic:blipFill>
                  <pic:spPr bwMode="auto">
                    <a:xfrm>
                      <a:off x="0" y="0"/>
                      <a:ext cx="5486400" cy="1262017"/>
                    </a:xfrm>
                    <a:prstGeom prst="rect">
                      <a:avLst/>
                    </a:prstGeom>
                    <a:noFill/>
                    <a:ln w="9525">
                      <a:noFill/>
                      <a:miter lim="800000"/>
                      <a:headEnd/>
                      <a:tailEnd/>
                    </a:ln>
                  </pic:spPr>
                </pic:pic>
              </a:graphicData>
            </a:graphic>
          </wp:inline>
        </w:drawing>
      </w:r>
      <w:r w:rsidRPr="0010534C">
        <w:rPr>
          <w:rFonts w:ascii="Calibri" w:hAnsi="Calibri" w:cs="Arial"/>
          <w:b/>
          <w:sz w:val="32"/>
          <w:szCs w:val="32"/>
        </w:rPr>
        <w:t xml:space="preserve"> </w:t>
      </w:r>
      <w:r>
        <w:rPr>
          <w:rFonts w:ascii="Calibri" w:hAnsi="Calibri" w:cs="Arial"/>
          <w:b/>
          <w:sz w:val="32"/>
          <w:szCs w:val="32"/>
        </w:rPr>
        <w:t>Friendly Development</w:t>
      </w:r>
      <w:r w:rsidR="00F33DCD">
        <w:rPr>
          <w:noProof/>
        </w:rPr>
        <w:pict>
          <v:shape id="_x0000_s1038" type="#_x0000_t202" style="position:absolute;margin-left:181.65pt;margin-top:-52.4pt;width:306pt;height:35.4pt;z-index:251682816;mso-wrap-edited:f;mso-position-horizontal-relative:text;mso-position-vertical-relative:text" wrapcoords="0 0 21600 0 21600 21600 0 21600 0 0" filled="f" stroked="f">
            <v:fill o:detectmouseclick="t"/>
            <v:textbox style="mso-next-textbox:#_x0000_s1038" inset=",7.2pt,,7.2pt">
              <w:txbxContent>
                <w:p w:rsidR="005E4E7C" w:rsidRPr="008E7F8B" w:rsidRDefault="005E4E7C" w:rsidP="00705C12">
                  <w:pPr>
                    <w:rPr>
                      <w:sz w:val="28"/>
                      <w:lang w:val="fr-FR"/>
                    </w:rPr>
                  </w:pPr>
                </w:p>
              </w:txbxContent>
            </v:textbox>
            <w10:wrap type="tight"/>
          </v:shape>
        </w:pict>
      </w:r>
      <w:r w:rsidR="00A53CBD">
        <w:br w:type="page"/>
      </w:r>
      <w:r w:rsidR="00F33DCD">
        <w:rPr>
          <w:noProof/>
        </w:rPr>
        <w:lastRenderedPageBreak/>
        <w:pict>
          <v:shape id="_x0000_s1041" type="#_x0000_t202" style="position:absolute;margin-left:61.9pt;margin-top:-.2pt;width:270.2pt;height:482.75pt;z-index:251692032;mso-position-horizontal-relative:text;mso-position-vertical-relative:text" filled="f" stroked="f">
            <v:textbox style="mso-next-textbox:#_x0000_s1041">
              <w:txbxContent>
                <w:p w:rsidR="005E4E7C" w:rsidRPr="00AB0B6D" w:rsidRDefault="005E4E7C" w:rsidP="00BD4201">
                  <w:pPr>
                    <w:spacing w:after="120"/>
                    <w:jc w:val="both"/>
                    <w:rPr>
                      <w:rFonts w:asciiTheme="minorHAnsi" w:hAnsiTheme="minorHAnsi"/>
                      <w:sz w:val="21"/>
                      <w:szCs w:val="21"/>
                    </w:rPr>
                  </w:pPr>
                  <w:r w:rsidRPr="00AB0B6D">
                    <w:rPr>
                      <w:rFonts w:asciiTheme="minorHAnsi" w:hAnsiTheme="minorHAnsi"/>
                      <w:sz w:val="21"/>
                      <w:szCs w:val="21"/>
                    </w:rPr>
                    <w:t>IFC helps industry build capacity</w:t>
                  </w:r>
                  <w:r w:rsidRPr="00AB0B6D">
                    <w:rPr>
                      <w:rFonts w:asciiTheme="minorHAnsi" w:hAnsiTheme="minorHAnsi" w:cs="Arial"/>
                      <w:sz w:val="21"/>
                      <w:szCs w:val="21"/>
                    </w:rPr>
                    <w:t xml:space="preserve"> to deliver grid-tied solutions, as well as focusing on the needs of the underserved.  These initiatives (such </w:t>
                  </w:r>
                  <w:proofErr w:type="gramStart"/>
                  <w:r w:rsidRPr="00AB0B6D">
                    <w:rPr>
                      <w:rFonts w:asciiTheme="minorHAnsi" w:hAnsiTheme="minorHAnsi" w:cs="Arial"/>
                      <w:sz w:val="21"/>
                      <w:szCs w:val="21"/>
                    </w:rPr>
                    <w:t>as  Lighting</w:t>
                  </w:r>
                  <w:proofErr w:type="gramEnd"/>
                  <w:r w:rsidRPr="00AB0B6D">
                    <w:rPr>
                      <w:rFonts w:asciiTheme="minorHAnsi" w:hAnsiTheme="minorHAnsi" w:cs="Arial"/>
                      <w:sz w:val="21"/>
                      <w:szCs w:val="21"/>
                    </w:rPr>
                    <w:t xml:space="preserve"> Africa and Lighting India) operate on the edges of </w:t>
                  </w:r>
                  <w:r w:rsidRPr="00AB0B6D">
                    <w:rPr>
                      <w:rFonts w:asciiTheme="minorHAnsi" w:hAnsiTheme="minorHAnsi"/>
                      <w:sz w:val="21"/>
                      <w:szCs w:val="21"/>
                    </w:rPr>
                    <w:t>commercial markets.</w:t>
                  </w:r>
                  <w:r>
                    <w:rPr>
                      <w:rFonts w:asciiTheme="minorHAnsi" w:hAnsiTheme="minorHAnsi"/>
                      <w:sz w:val="21"/>
                      <w:szCs w:val="21"/>
                    </w:rPr>
                    <w:t xml:space="preserve">  </w:t>
                  </w:r>
                  <w:r w:rsidRPr="00AB0B6D">
                    <w:rPr>
                      <w:rFonts w:asciiTheme="minorHAnsi" w:hAnsiTheme="minorHAnsi"/>
                      <w:sz w:val="21"/>
                      <w:szCs w:val="21"/>
                    </w:rPr>
                    <w:t xml:space="preserve">They leverage IFC and other commercial financing to reach scale.  </w:t>
                  </w:r>
                </w:p>
                <w:p w:rsidR="005E4E7C" w:rsidRPr="00EF0DD8" w:rsidRDefault="005E4E7C" w:rsidP="00BD4201">
                  <w:pPr>
                    <w:spacing w:after="120"/>
                    <w:jc w:val="both"/>
                    <w:rPr>
                      <w:rFonts w:asciiTheme="minorHAnsi" w:hAnsiTheme="minorHAnsi"/>
                      <w:sz w:val="21"/>
                      <w:szCs w:val="21"/>
                    </w:rPr>
                  </w:pPr>
                  <w:r w:rsidRPr="00F311D3">
                    <w:rPr>
                      <w:rFonts w:asciiTheme="minorHAnsi" w:hAnsiTheme="minorHAnsi"/>
                      <w:b/>
                      <w:sz w:val="22"/>
                      <w:szCs w:val="22"/>
                    </w:rPr>
                    <w:t>Climate risk assessments:</w:t>
                  </w:r>
                  <w:r w:rsidRPr="00EF0DD8">
                    <w:rPr>
                      <w:rFonts w:asciiTheme="minorHAnsi" w:hAnsiTheme="minorHAnsi"/>
                      <w:sz w:val="21"/>
                      <w:szCs w:val="21"/>
                    </w:rPr>
                    <w:t xml:space="preserve"> </w:t>
                  </w:r>
                  <w:r>
                    <w:rPr>
                      <w:rFonts w:asciiTheme="minorHAnsi" w:hAnsiTheme="minorHAnsi"/>
                      <w:sz w:val="21"/>
                      <w:szCs w:val="21"/>
                    </w:rPr>
                    <w:t xml:space="preserve">In 2008, </w:t>
                  </w:r>
                  <w:r w:rsidRPr="00EF0DD8">
                    <w:rPr>
                      <w:rFonts w:asciiTheme="minorHAnsi" w:hAnsiTheme="minorHAnsi"/>
                      <w:sz w:val="21"/>
                      <w:szCs w:val="21"/>
                    </w:rPr>
                    <w:t xml:space="preserve">IFC initiated </w:t>
                  </w:r>
                  <w:r>
                    <w:rPr>
                      <w:rFonts w:asciiTheme="minorHAnsi" w:hAnsiTheme="minorHAnsi"/>
                      <w:sz w:val="21"/>
                      <w:szCs w:val="21"/>
                    </w:rPr>
                    <w:t>several assessments with clients</w:t>
                  </w:r>
                  <w:r w:rsidRPr="00EF4AE0">
                    <w:rPr>
                      <w:rFonts w:asciiTheme="minorHAnsi" w:hAnsiTheme="minorHAnsi"/>
                      <w:sz w:val="21"/>
                      <w:szCs w:val="21"/>
                    </w:rPr>
                    <w:t>.  Findings on risk</w:t>
                  </w:r>
                  <w:r>
                    <w:rPr>
                      <w:rFonts w:asciiTheme="minorHAnsi" w:hAnsiTheme="minorHAnsi"/>
                      <w:sz w:val="21"/>
                      <w:szCs w:val="21"/>
                    </w:rPr>
                    <w:t xml:space="preserve"> and</w:t>
                  </w:r>
                  <w:r w:rsidRPr="00EF4AE0">
                    <w:rPr>
                      <w:rFonts w:asciiTheme="minorHAnsi" w:hAnsiTheme="minorHAnsi"/>
                      <w:sz w:val="21"/>
                      <w:szCs w:val="21"/>
                    </w:rPr>
                    <w:t xml:space="preserve"> mitigation options for clients in hydro power, agribusiness, infrastructure and manufacturing</w:t>
                  </w:r>
                  <w:r>
                    <w:rPr>
                      <w:rFonts w:asciiTheme="minorHAnsi" w:hAnsiTheme="minorHAnsi"/>
                      <w:sz w:val="21"/>
                      <w:szCs w:val="21"/>
                    </w:rPr>
                    <w:t>, and also implications for financial institutions,</w:t>
                  </w:r>
                  <w:r w:rsidRPr="00EF4AE0">
                    <w:rPr>
                      <w:rFonts w:asciiTheme="minorHAnsi" w:hAnsiTheme="minorHAnsi"/>
                      <w:sz w:val="21"/>
                      <w:szCs w:val="21"/>
                    </w:rPr>
                    <w:t xml:space="preserve"> </w:t>
                  </w:r>
                  <w:r>
                    <w:rPr>
                      <w:rFonts w:asciiTheme="minorHAnsi" w:hAnsiTheme="minorHAnsi"/>
                      <w:sz w:val="21"/>
                      <w:szCs w:val="21"/>
                    </w:rPr>
                    <w:t>have now been published</w:t>
                  </w:r>
                  <w:r w:rsidRPr="00EF4AE0">
                    <w:rPr>
                      <w:rFonts w:asciiTheme="minorHAnsi" w:hAnsiTheme="minorHAnsi"/>
                      <w:sz w:val="21"/>
                      <w:szCs w:val="21"/>
                    </w:rPr>
                    <w:t>. Further assessments and then the elaboration of analytical tools to help clients plan for adaptation will follow.</w:t>
                  </w:r>
                </w:p>
                <w:p w:rsidR="005E4E7C" w:rsidRPr="00EF0DD8" w:rsidRDefault="005E4E7C" w:rsidP="00BD4201">
                  <w:pPr>
                    <w:spacing w:after="120"/>
                    <w:jc w:val="both"/>
                    <w:rPr>
                      <w:rFonts w:asciiTheme="minorHAnsi" w:hAnsiTheme="minorHAnsi"/>
                      <w:sz w:val="21"/>
                      <w:szCs w:val="21"/>
                    </w:rPr>
                  </w:pPr>
                  <w:r w:rsidRPr="00F311D3">
                    <w:rPr>
                      <w:rFonts w:asciiTheme="minorHAnsi" w:hAnsiTheme="minorHAnsi"/>
                      <w:b/>
                      <w:sz w:val="22"/>
                      <w:szCs w:val="22"/>
                    </w:rPr>
                    <w:t xml:space="preserve">GHG </w:t>
                  </w:r>
                  <w:r>
                    <w:rPr>
                      <w:rFonts w:asciiTheme="minorHAnsi" w:hAnsiTheme="minorHAnsi"/>
                      <w:b/>
                      <w:sz w:val="22"/>
                      <w:szCs w:val="22"/>
                    </w:rPr>
                    <w:t>accounting</w:t>
                  </w:r>
                  <w:r w:rsidRPr="00F311D3">
                    <w:rPr>
                      <w:rFonts w:asciiTheme="minorHAnsi" w:hAnsiTheme="minorHAnsi"/>
                      <w:b/>
                      <w:sz w:val="22"/>
                      <w:szCs w:val="22"/>
                    </w:rPr>
                    <w:t>:</w:t>
                  </w:r>
                  <w:r w:rsidRPr="00EF0DD8">
                    <w:rPr>
                      <w:rFonts w:asciiTheme="minorHAnsi" w:hAnsiTheme="minorHAnsi"/>
                      <w:sz w:val="21"/>
                      <w:szCs w:val="21"/>
                    </w:rPr>
                    <w:t xml:space="preserve"> In 2009, the IFC began GHG </w:t>
                  </w:r>
                  <w:r>
                    <w:rPr>
                      <w:rFonts w:asciiTheme="minorHAnsi" w:hAnsiTheme="minorHAnsi"/>
                      <w:sz w:val="21"/>
                      <w:szCs w:val="21"/>
                    </w:rPr>
                    <w:t>accounting for</w:t>
                  </w:r>
                  <w:r w:rsidRPr="00EF0DD8">
                    <w:rPr>
                      <w:rFonts w:asciiTheme="minorHAnsi" w:hAnsiTheme="minorHAnsi"/>
                      <w:sz w:val="21"/>
                      <w:szCs w:val="21"/>
                    </w:rPr>
                    <w:t xml:space="preserve"> its direct investments</w:t>
                  </w:r>
                  <w:r>
                    <w:rPr>
                      <w:rFonts w:asciiTheme="minorHAnsi" w:hAnsiTheme="minorHAnsi"/>
                      <w:sz w:val="21"/>
                      <w:szCs w:val="21"/>
                    </w:rPr>
                    <w:t xml:space="preserve">.  </w:t>
                  </w:r>
                  <w:r>
                    <w:rPr>
                      <w:rFonts w:asciiTheme="minorHAnsi" w:hAnsiTheme="minorHAnsi" w:cs="Helv"/>
                      <w:color w:val="000000"/>
                      <w:sz w:val="21"/>
                      <w:szCs w:val="21"/>
                    </w:rPr>
                    <w:t xml:space="preserve">In 2011, IFC </w:t>
                  </w:r>
                  <w:r w:rsidRPr="00CC3214">
                    <w:rPr>
                      <w:rFonts w:asciiTheme="minorHAnsi" w:hAnsiTheme="minorHAnsi" w:cs="Helv"/>
                      <w:color w:val="000000"/>
                      <w:sz w:val="21"/>
                      <w:szCs w:val="21"/>
                    </w:rPr>
                    <w:t>defined several methodologies to estimate GHG reductions</w:t>
                  </w:r>
                  <w:r>
                    <w:rPr>
                      <w:rFonts w:asciiTheme="minorHAnsi" w:hAnsiTheme="minorHAnsi" w:cs="Helv"/>
                      <w:color w:val="000000"/>
                      <w:sz w:val="21"/>
                      <w:szCs w:val="21"/>
                    </w:rPr>
                    <w:t xml:space="preserve">.  </w:t>
                  </w:r>
                  <w:r>
                    <w:rPr>
                      <w:rFonts w:asciiTheme="minorHAnsi" w:hAnsiTheme="minorHAnsi"/>
                      <w:sz w:val="21"/>
                      <w:szCs w:val="21"/>
                    </w:rPr>
                    <w:t xml:space="preserve">IFC is now </w:t>
                  </w:r>
                  <w:r w:rsidRPr="00EF0DD8">
                    <w:rPr>
                      <w:rFonts w:asciiTheme="minorHAnsi" w:hAnsiTheme="minorHAnsi"/>
                      <w:sz w:val="21"/>
                      <w:szCs w:val="21"/>
                    </w:rPr>
                    <w:t xml:space="preserve">developing </w:t>
                  </w:r>
                  <w:r>
                    <w:rPr>
                      <w:rFonts w:asciiTheme="minorHAnsi" w:hAnsiTheme="minorHAnsi"/>
                      <w:sz w:val="21"/>
                      <w:szCs w:val="21"/>
                    </w:rPr>
                    <w:t xml:space="preserve">similar </w:t>
                  </w:r>
                  <w:r w:rsidRPr="00EF0DD8">
                    <w:rPr>
                      <w:rFonts w:asciiTheme="minorHAnsi" w:hAnsiTheme="minorHAnsi"/>
                      <w:sz w:val="21"/>
                      <w:szCs w:val="21"/>
                    </w:rPr>
                    <w:t>approach</w:t>
                  </w:r>
                  <w:r>
                    <w:rPr>
                      <w:rFonts w:asciiTheme="minorHAnsi" w:hAnsiTheme="minorHAnsi"/>
                      <w:sz w:val="21"/>
                      <w:szCs w:val="21"/>
                    </w:rPr>
                    <w:t>es</w:t>
                  </w:r>
                  <w:r w:rsidRPr="00EF0DD8">
                    <w:rPr>
                      <w:rFonts w:asciiTheme="minorHAnsi" w:hAnsiTheme="minorHAnsi"/>
                      <w:sz w:val="21"/>
                      <w:szCs w:val="21"/>
                    </w:rPr>
                    <w:t xml:space="preserve"> for its financial intermediary and advisory </w:t>
                  </w:r>
                  <w:r w:rsidRPr="00CC3214">
                    <w:rPr>
                      <w:rFonts w:asciiTheme="minorHAnsi" w:hAnsiTheme="minorHAnsi"/>
                      <w:sz w:val="21"/>
                      <w:szCs w:val="21"/>
                    </w:rPr>
                    <w:t xml:space="preserve">portfolios. </w:t>
                  </w:r>
                </w:p>
                <w:p w:rsidR="005E4E7C" w:rsidRPr="00EF0DD8" w:rsidRDefault="005E4E7C" w:rsidP="003A4A06">
                  <w:pPr>
                    <w:spacing w:after="120"/>
                    <w:jc w:val="both"/>
                    <w:rPr>
                      <w:rFonts w:asciiTheme="minorHAnsi" w:hAnsiTheme="minorHAnsi"/>
                      <w:sz w:val="21"/>
                      <w:szCs w:val="21"/>
                    </w:rPr>
                  </w:pPr>
                  <w:r w:rsidRPr="00F311D3">
                    <w:rPr>
                      <w:rFonts w:asciiTheme="minorHAnsi" w:hAnsiTheme="minorHAnsi"/>
                      <w:b/>
                      <w:sz w:val="22"/>
                      <w:szCs w:val="22"/>
                    </w:rPr>
                    <w:t>Standard setting:</w:t>
                  </w:r>
                  <w:r w:rsidRPr="00EF0DD8">
                    <w:rPr>
                      <w:rFonts w:asciiTheme="minorHAnsi" w:hAnsiTheme="minorHAnsi"/>
                      <w:sz w:val="21"/>
                      <w:szCs w:val="21"/>
                    </w:rPr>
                    <w:t xml:space="preserve"> </w:t>
                  </w:r>
                  <w:r w:rsidRPr="003F0038">
                    <w:rPr>
                      <w:rFonts w:asciiTheme="minorHAnsi" w:hAnsiTheme="minorHAnsi"/>
                      <w:sz w:val="21"/>
                      <w:szCs w:val="21"/>
                    </w:rPr>
                    <w:t>IFC has updated its Environmental and Social Performance Standards (which are widely applied by commercial banks via the Equator Principles) to include climate considerations.</w:t>
                  </w:r>
                  <w:r w:rsidRPr="00EF0DD8">
                    <w:rPr>
                      <w:rFonts w:asciiTheme="minorHAnsi" w:hAnsiTheme="minorHAnsi"/>
                      <w:sz w:val="21"/>
                      <w:szCs w:val="21"/>
                    </w:rPr>
                    <w:t xml:space="preserve">  IFC is a member of a multi-stakeholder steering committee to define standards for “green” bonds and, on the equity side, IFC and Standard &amp; Poor’s launched the world's first carbon-efficient index for emerging markets.</w:t>
                  </w:r>
                </w:p>
                <w:p w:rsidR="005E4E7C" w:rsidRPr="00F311D3" w:rsidRDefault="005E4E7C" w:rsidP="003A4A06">
                  <w:pPr>
                    <w:spacing w:after="120"/>
                    <w:jc w:val="both"/>
                    <w:rPr>
                      <w:rFonts w:ascii="Calibri" w:hAnsi="Calibri"/>
                      <w:b/>
                      <w:color w:val="0070C0"/>
                    </w:rPr>
                  </w:pPr>
                  <w:r w:rsidRPr="00F311D3">
                    <w:rPr>
                      <w:rFonts w:ascii="Calibri" w:hAnsi="Calibri"/>
                      <w:b/>
                      <w:color w:val="0070C0"/>
                    </w:rPr>
                    <w:t>Collaboration with other institutions</w:t>
                  </w:r>
                </w:p>
                <w:p w:rsidR="005E4E7C" w:rsidRPr="00536E9C" w:rsidRDefault="005E4E7C" w:rsidP="003A4A06">
                  <w:pPr>
                    <w:jc w:val="both"/>
                    <w:rPr>
                      <w:rFonts w:asciiTheme="minorHAnsi" w:hAnsiTheme="minorHAnsi"/>
                      <w:color w:val="FF0000"/>
                      <w:sz w:val="21"/>
                      <w:szCs w:val="21"/>
                    </w:rPr>
                  </w:pPr>
                  <w:r w:rsidRPr="00EF0DD8">
                    <w:rPr>
                      <w:rFonts w:asciiTheme="minorHAnsi" w:hAnsiTheme="minorHAnsi"/>
                      <w:sz w:val="21"/>
                      <w:szCs w:val="21"/>
                    </w:rPr>
                    <w:t>IFC is proud to partner with the following change-agents: World Business Council for Sustainable Development; the Equator Banks; the Critical Mass Initiative; the Carbon Disclosure Project; the Water Resources Group; the World Economic Forum;</w:t>
                  </w:r>
                  <w:r>
                    <w:rPr>
                      <w:rFonts w:asciiTheme="minorHAnsi" w:hAnsiTheme="minorHAnsi"/>
                      <w:sz w:val="21"/>
                      <w:szCs w:val="21"/>
                    </w:rPr>
                    <w:t xml:space="preserve"> </w:t>
                  </w:r>
                  <w:r w:rsidRPr="00EF0DD8">
                    <w:rPr>
                      <w:rFonts w:asciiTheme="minorHAnsi" w:hAnsiTheme="minorHAnsi"/>
                      <w:sz w:val="21"/>
                      <w:szCs w:val="21"/>
                    </w:rPr>
                    <w:t xml:space="preserve">the EBRD, </w:t>
                  </w:r>
                  <w:proofErr w:type="spellStart"/>
                  <w:r w:rsidRPr="00EF0DD8">
                    <w:rPr>
                      <w:rFonts w:asciiTheme="minorHAnsi" w:hAnsiTheme="minorHAnsi"/>
                      <w:sz w:val="21"/>
                      <w:szCs w:val="21"/>
                    </w:rPr>
                    <w:t>AfDB</w:t>
                  </w:r>
                  <w:proofErr w:type="spellEnd"/>
                  <w:r w:rsidRPr="00EF0DD8">
                    <w:rPr>
                      <w:rFonts w:asciiTheme="minorHAnsi" w:hAnsiTheme="minorHAnsi"/>
                      <w:sz w:val="21"/>
                      <w:szCs w:val="21"/>
                    </w:rPr>
                    <w:t>, ADB</w:t>
                  </w:r>
                  <w:r>
                    <w:rPr>
                      <w:rFonts w:asciiTheme="minorHAnsi" w:hAnsiTheme="minorHAnsi"/>
                      <w:sz w:val="21"/>
                      <w:szCs w:val="21"/>
                    </w:rPr>
                    <w:t xml:space="preserve">, </w:t>
                  </w:r>
                  <w:r w:rsidRPr="00EF0DD8">
                    <w:rPr>
                      <w:rFonts w:asciiTheme="minorHAnsi" w:hAnsiTheme="minorHAnsi"/>
                      <w:sz w:val="21"/>
                      <w:szCs w:val="21"/>
                    </w:rPr>
                    <w:t xml:space="preserve">IADB, </w:t>
                  </w:r>
                  <w:r>
                    <w:rPr>
                      <w:rFonts w:asciiTheme="minorHAnsi" w:hAnsiTheme="minorHAnsi"/>
                      <w:sz w:val="21"/>
                      <w:szCs w:val="21"/>
                    </w:rPr>
                    <w:t xml:space="preserve">and several large institutional investors, </w:t>
                  </w:r>
                  <w:r w:rsidRPr="00EF0DD8">
                    <w:rPr>
                      <w:rFonts w:asciiTheme="minorHAnsi" w:hAnsiTheme="minorHAnsi"/>
                      <w:sz w:val="21"/>
                      <w:szCs w:val="21"/>
                    </w:rPr>
                    <w:t xml:space="preserve">among </w:t>
                  </w:r>
                  <w:r w:rsidRPr="007220C3">
                    <w:rPr>
                      <w:rFonts w:asciiTheme="minorHAnsi" w:hAnsiTheme="minorHAnsi"/>
                      <w:sz w:val="21"/>
                      <w:szCs w:val="21"/>
                    </w:rPr>
                    <w:t>others.</w:t>
                  </w:r>
                  <w:r w:rsidRPr="00536E9C">
                    <w:rPr>
                      <w:rFonts w:asciiTheme="minorHAnsi" w:hAnsiTheme="minorHAnsi"/>
                      <w:color w:val="FF0000"/>
                      <w:sz w:val="21"/>
                      <w:szCs w:val="21"/>
                    </w:rPr>
                    <w:t xml:space="preserve">  </w:t>
                  </w:r>
                </w:p>
                <w:p w:rsidR="005E4E7C" w:rsidRPr="004136F2" w:rsidRDefault="005E4E7C" w:rsidP="003A4A06">
                  <w:pPr>
                    <w:jc w:val="both"/>
                    <w:rPr>
                      <w:rFonts w:ascii="Calibri" w:hAnsi="Calibri" w:cs="Arial"/>
                      <w:b/>
                      <w:sz w:val="20"/>
                      <w:szCs w:val="18"/>
                    </w:rPr>
                  </w:pPr>
                  <w:r w:rsidRPr="004136F2">
                    <w:rPr>
                      <w:rFonts w:ascii="Calibri" w:hAnsi="Calibri" w:cs="Arial"/>
                      <w:b/>
                      <w:sz w:val="20"/>
                      <w:szCs w:val="18"/>
                    </w:rPr>
                    <w:t xml:space="preserve"> </w:t>
                  </w:r>
                </w:p>
                <w:p w:rsidR="005E4E7C" w:rsidRPr="004136F2" w:rsidRDefault="005E4E7C" w:rsidP="003A4A06">
                  <w:pPr>
                    <w:jc w:val="both"/>
                    <w:rPr>
                      <w:rFonts w:ascii="Calibri" w:hAnsi="Calibri" w:cs="Arial"/>
                      <w:sz w:val="20"/>
                      <w:szCs w:val="18"/>
                    </w:rPr>
                  </w:pPr>
                </w:p>
              </w:txbxContent>
            </v:textbox>
          </v:shape>
        </w:pict>
      </w:r>
      <w:r w:rsidR="00F33DCD">
        <w:rPr>
          <w:noProof/>
        </w:rPr>
        <w:pict>
          <v:shape id="_x0000_s1036" type="#_x0000_t202" style="position:absolute;margin-left:-212.35pt;margin-top:-.2pt;width:267.95pt;height:485.5pt;z-index:251680768;mso-position-horizontal-relative:text;mso-position-vertical-relative:text" filled="f" stroked="f">
            <v:textbox style="mso-next-textbox:#_x0000_s1036">
              <w:txbxContent>
                <w:p w:rsidR="005E4E7C" w:rsidRDefault="005E4E7C" w:rsidP="00FB3524">
                  <w:pPr>
                    <w:spacing w:after="120"/>
                    <w:rPr>
                      <w:rFonts w:ascii="Calibri" w:hAnsi="Calibri"/>
                      <w:b/>
                      <w:color w:val="0070C0"/>
                    </w:rPr>
                  </w:pPr>
                  <w:r w:rsidRPr="00F311D3">
                    <w:rPr>
                      <w:rFonts w:ascii="Calibri" w:hAnsi="Calibri"/>
                      <w:b/>
                      <w:color w:val="0070C0"/>
                    </w:rPr>
                    <w:t>Carbon Finance</w:t>
                  </w:r>
                </w:p>
                <w:p w:rsidR="005E4E7C" w:rsidRPr="00FB3524" w:rsidRDefault="005E4E7C" w:rsidP="003A4A06">
                  <w:pPr>
                    <w:spacing w:after="120"/>
                    <w:jc w:val="both"/>
                    <w:rPr>
                      <w:rFonts w:asciiTheme="minorHAnsi" w:hAnsiTheme="minorHAnsi" w:cs="Tms Rmn"/>
                      <w:color w:val="000000"/>
                      <w:sz w:val="21"/>
                      <w:szCs w:val="21"/>
                    </w:rPr>
                  </w:pPr>
                  <w:r w:rsidRPr="00FB3524">
                    <w:rPr>
                      <w:rFonts w:asciiTheme="minorHAnsi" w:hAnsiTheme="minorHAnsi" w:cs="Tms Rmn"/>
                      <w:color w:val="000000"/>
                      <w:sz w:val="21"/>
                      <w:szCs w:val="21"/>
                    </w:rPr>
                    <w:t xml:space="preserve">In June 2011, IFC established the </w:t>
                  </w:r>
                  <w:r w:rsidRPr="00FB3524">
                    <w:rPr>
                      <w:rFonts w:asciiTheme="minorHAnsi" w:hAnsiTheme="minorHAnsi" w:cs="Tms Rmn"/>
                      <w:b/>
                      <w:bCs/>
                      <w:color w:val="000000"/>
                      <w:sz w:val="21"/>
                      <w:szCs w:val="21"/>
                    </w:rPr>
                    <w:t>Post-2012 Carbon Facility</w:t>
                  </w:r>
                  <w:r w:rsidRPr="00FB3524">
                    <w:rPr>
                      <w:rFonts w:asciiTheme="minorHAnsi" w:hAnsiTheme="minorHAnsi" w:cs="Tms Rmn"/>
                      <w:color w:val="000000"/>
                      <w:sz w:val="21"/>
                      <w:szCs w:val="21"/>
                    </w:rPr>
                    <w:t xml:space="preserve"> to forward purchase credits produced until 2020 by IFC clients and by clients of IFC partner banks. This €150 million</w:t>
                  </w:r>
                  <w:r w:rsidRPr="00FB3524">
                    <w:rPr>
                      <w:rFonts w:asciiTheme="minorHAnsi" w:hAnsiTheme="minorHAnsi" w:cs="Tms Rmn"/>
                      <w:b/>
                      <w:bCs/>
                      <w:color w:val="000000"/>
                      <w:sz w:val="21"/>
                      <w:szCs w:val="21"/>
                    </w:rPr>
                    <w:t xml:space="preserve"> </w:t>
                  </w:r>
                  <w:r w:rsidRPr="00FB3524">
                    <w:rPr>
                      <w:rFonts w:asciiTheme="minorHAnsi" w:hAnsiTheme="minorHAnsi" w:cs="Tms Rmn"/>
                      <w:color w:val="000000"/>
                      <w:sz w:val="21"/>
                      <w:szCs w:val="21"/>
                    </w:rPr>
                    <w:t xml:space="preserve">Facility helps to address post-2012 carbon market uncertainty faced by projects by creating a pathway to market. IFC also offers </w:t>
                  </w:r>
                  <w:r w:rsidRPr="00FB3524">
                    <w:rPr>
                      <w:rFonts w:asciiTheme="minorHAnsi" w:hAnsiTheme="minorHAnsi" w:cs="Tms Rmn"/>
                      <w:b/>
                      <w:bCs/>
                      <w:color w:val="000000"/>
                      <w:sz w:val="21"/>
                      <w:szCs w:val="21"/>
                    </w:rPr>
                    <w:t xml:space="preserve">innovative debt finance </w:t>
                  </w:r>
                  <w:r w:rsidRPr="00FB3524">
                    <w:rPr>
                      <w:rFonts w:asciiTheme="minorHAnsi" w:hAnsiTheme="minorHAnsi" w:cs="Tms Rmn"/>
                      <w:color w:val="000000"/>
                      <w:sz w:val="21"/>
                      <w:szCs w:val="21"/>
                    </w:rPr>
                    <w:t xml:space="preserve">for projects with bankable carbon off-take contracts, and develops </w:t>
                  </w:r>
                  <w:r w:rsidRPr="00FB3524">
                    <w:rPr>
                      <w:rFonts w:asciiTheme="minorHAnsi" w:hAnsiTheme="minorHAnsi" w:cs="Tms Rmn"/>
                      <w:b/>
                      <w:bCs/>
                      <w:color w:val="000000"/>
                      <w:sz w:val="21"/>
                      <w:szCs w:val="21"/>
                    </w:rPr>
                    <w:t>new innovative climate finance products</w:t>
                  </w:r>
                  <w:r w:rsidRPr="00FB3524">
                    <w:rPr>
                      <w:rFonts w:asciiTheme="minorHAnsi" w:hAnsiTheme="minorHAnsi" w:cs="Tms Rmn"/>
                      <w:color w:val="000000"/>
                      <w:sz w:val="21"/>
                      <w:szCs w:val="21"/>
                    </w:rPr>
                    <w:t xml:space="preserve"> that increase flows of climate-friendly investment in emerging markets. IFC also advises partner banks interested in accessing carbon finance markets.</w:t>
                  </w:r>
                </w:p>
                <w:p w:rsidR="005E4E7C" w:rsidRPr="00F311D3" w:rsidRDefault="005E4E7C" w:rsidP="003A4A06">
                  <w:pPr>
                    <w:spacing w:after="120"/>
                    <w:jc w:val="both"/>
                    <w:rPr>
                      <w:rFonts w:ascii="Calibri" w:hAnsi="Calibri"/>
                      <w:b/>
                      <w:color w:val="0070C0"/>
                    </w:rPr>
                  </w:pPr>
                  <w:r w:rsidRPr="00F311D3">
                    <w:rPr>
                      <w:rFonts w:ascii="Calibri" w:hAnsi="Calibri"/>
                      <w:b/>
                      <w:color w:val="0070C0"/>
                    </w:rPr>
                    <w:t>Concessional Finance</w:t>
                  </w:r>
                </w:p>
                <w:p w:rsidR="005E4E7C" w:rsidRPr="00235FB6" w:rsidRDefault="005E4E7C" w:rsidP="003A4A06">
                  <w:pPr>
                    <w:spacing w:after="120"/>
                    <w:jc w:val="both"/>
                    <w:rPr>
                      <w:rFonts w:ascii="Calibri" w:hAnsi="Calibri" w:cs="Arial"/>
                      <w:color w:val="FF0000"/>
                      <w:sz w:val="21"/>
                      <w:szCs w:val="21"/>
                    </w:rPr>
                  </w:pPr>
                  <w:r w:rsidRPr="00EF0DD8">
                    <w:rPr>
                      <w:rFonts w:ascii="Calibri" w:hAnsi="Calibri" w:cs="Arial"/>
                      <w:sz w:val="21"/>
                      <w:szCs w:val="21"/>
                    </w:rPr>
                    <w:t>IFC</w:t>
                  </w:r>
                  <w:r>
                    <w:rPr>
                      <w:rFonts w:ascii="Calibri" w:hAnsi="Calibri" w:cs="Arial"/>
                      <w:sz w:val="21"/>
                      <w:szCs w:val="21"/>
                    </w:rPr>
                    <w:t xml:space="preserve"> currently manages about $700 million from climate donors.  In addition to advisory work, IFC</w:t>
                  </w:r>
                  <w:r w:rsidRPr="00EF0DD8">
                    <w:rPr>
                      <w:rFonts w:ascii="Calibri" w:hAnsi="Calibri" w:cs="Arial"/>
                      <w:sz w:val="21"/>
                      <w:szCs w:val="21"/>
                    </w:rPr>
                    <w:t xml:space="preserve"> provides concessional funding to overcome the higher costs or perceived risks that inhibit fully commercial financing of some projects.  Donor funding has allowed IFC to catalyze innovative financing structures, </w:t>
                  </w:r>
                  <w:r>
                    <w:rPr>
                      <w:rFonts w:ascii="Calibri" w:hAnsi="Calibri" w:cs="Arial"/>
                      <w:sz w:val="21"/>
                      <w:szCs w:val="21"/>
                    </w:rPr>
                    <w:t>such as</w:t>
                  </w:r>
                  <w:r w:rsidRPr="00EF0DD8">
                    <w:rPr>
                      <w:rFonts w:ascii="Calibri" w:hAnsi="Calibri" w:cs="Arial"/>
                      <w:sz w:val="21"/>
                      <w:szCs w:val="21"/>
                    </w:rPr>
                    <w:t xml:space="preserve"> risk sharing facilities with banks, and</w:t>
                  </w:r>
                  <w:r>
                    <w:rPr>
                      <w:rFonts w:ascii="Calibri" w:hAnsi="Calibri" w:cs="Arial"/>
                      <w:sz w:val="21"/>
                      <w:szCs w:val="21"/>
                    </w:rPr>
                    <w:t xml:space="preserve"> </w:t>
                  </w:r>
                  <w:r w:rsidRPr="00EF0DD8">
                    <w:rPr>
                      <w:rFonts w:ascii="Calibri" w:hAnsi="Calibri" w:cs="Arial"/>
                      <w:sz w:val="21"/>
                      <w:szCs w:val="21"/>
                    </w:rPr>
                    <w:t>demonstration projects</w:t>
                  </w:r>
                  <w:r>
                    <w:rPr>
                      <w:rFonts w:ascii="Calibri" w:hAnsi="Calibri" w:cs="Arial"/>
                      <w:sz w:val="21"/>
                      <w:szCs w:val="21"/>
                    </w:rPr>
                    <w:t>.</w:t>
                  </w:r>
                </w:p>
                <w:p w:rsidR="005E4E7C" w:rsidRPr="00F311D3" w:rsidRDefault="005E4E7C" w:rsidP="003A4A06">
                  <w:pPr>
                    <w:spacing w:after="120"/>
                    <w:jc w:val="both"/>
                    <w:rPr>
                      <w:rFonts w:ascii="Calibri" w:hAnsi="Calibri"/>
                      <w:b/>
                      <w:color w:val="0070C0"/>
                    </w:rPr>
                  </w:pPr>
                  <w:r w:rsidRPr="00F311D3">
                    <w:rPr>
                      <w:rFonts w:ascii="Calibri" w:hAnsi="Calibri"/>
                      <w:b/>
                      <w:color w:val="0070C0"/>
                    </w:rPr>
                    <w:t xml:space="preserve">Advisory Services, Analytics and Standards </w:t>
                  </w:r>
                </w:p>
                <w:p w:rsidR="005E4E7C" w:rsidRPr="00EF0DD8" w:rsidRDefault="005E4E7C" w:rsidP="003A4A06">
                  <w:pPr>
                    <w:spacing w:after="60"/>
                    <w:jc w:val="both"/>
                    <w:rPr>
                      <w:rFonts w:asciiTheme="minorHAnsi" w:hAnsiTheme="minorHAnsi"/>
                      <w:sz w:val="21"/>
                      <w:szCs w:val="21"/>
                    </w:rPr>
                  </w:pPr>
                  <w:r w:rsidRPr="00F311D3">
                    <w:rPr>
                      <w:rFonts w:asciiTheme="minorHAnsi" w:hAnsiTheme="minorHAnsi"/>
                      <w:b/>
                      <w:sz w:val="22"/>
                      <w:szCs w:val="22"/>
                    </w:rPr>
                    <w:t>Resource efficiency / cleaner production advice:</w:t>
                  </w:r>
                  <w:r w:rsidRPr="00EF0DD8">
                    <w:rPr>
                      <w:rFonts w:asciiTheme="minorHAnsi" w:hAnsiTheme="minorHAnsi"/>
                      <w:b/>
                      <w:sz w:val="21"/>
                      <w:szCs w:val="21"/>
                    </w:rPr>
                    <w:t xml:space="preserve"> </w:t>
                  </w:r>
                  <w:r w:rsidRPr="00EF0DD8">
                    <w:rPr>
                      <w:rFonts w:asciiTheme="minorHAnsi" w:hAnsiTheme="minorHAnsi"/>
                      <w:sz w:val="21"/>
                      <w:szCs w:val="21"/>
                    </w:rPr>
                    <w:t>IFC helps clients optimize project/process designs and identify retrofit opportunities to achieve greater efficiency in energy, water and other resources.  In addition to working at the firm level, IFC also undertakes sector-wide studies, and provides regulatory and policy support</w:t>
                  </w:r>
                  <w:r>
                    <w:rPr>
                      <w:rFonts w:asciiTheme="minorHAnsi" w:hAnsiTheme="minorHAnsi"/>
                      <w:sz w:val="21"/>
                      <w:szCs w:val="21"/>
                    </w:rPr>
                    <w:t xml:space="preserve"> (including for specific public private partnership projects)</w:t>
                  </w:r>
                  <w:r w:rsidRPr="00EF0DD8">
                    <w:rPr>
                      <w:rFonts w:asciiTheme="minorHAnsi" w:hAnsiTheme="minorHAnsi"/>
                      <w:sz w:val="21"/>
                      <w:szCs w:val="21"/>
                    </w:rPr>
                    <w:t>, end-user information and education, market aggregation initiatives, and support for more effective vendor networks.</w:t>
                  </w:r>
                </w:p>
                <w:p w:rsidR="005E4E7C" w:rsidRPr="004136F2" w:rsidRDefault="005E4E7C" w:rsidP="00083788">
                  <w:pPr>
                    <w:spacing w:after="60"/>
                    <w:jc w:val="both"/>
                    <w:rPr>
                      <w:rFonts w:ascii="Calibri" w:hAnsi="Calibri" w:cs="Arial"/>
                      <w:b/>
                      <w:sz w:val="20"/>
                      <w:szCs w:val="18"/>
                    </w:rPr>
                  </w:pPr>
                  <w:r w:rsidRPr="00F311D3">
                    <w:rPr>
                      <w:rFonts w:asciiTheme="minorHAnsi" w:hAnsiTheme="minorHAnsi"/>
                      <w:b/>
                      <w:sz w:val="22"/>
                      <w:szCs w:val="22"/>
                    </w:rPr>
                    <w:t>Clean energy scale-up and energy access initiatives:</w:t>
                  </w:r>
                  <w:r w:rsidRPr="00EF0DD8">
                    <w:rPr>
                      <w:rFonts w:asciiTheme="minorHAnsi" w:hAnsiTheme="minorHAnsi"/>
                      <w:b/>
                      <w:sz w:val="21"/>
                      <w:szCs w:val="21"/>
                    </w:rPr>
                    <w:t xml:space="preserve"> </w:t>
                  </w:r>
                  <w:r w:rsidRPr="00EF0DD8">
                    <w:rPr>
                      <w:rFonts w:asciiTheme="minorHAnsi" w:hAnsiTheme="minorHAnsi"/>
                      <w:sz w:val="21"/>
                      <w:szCs w:val="21"/>
                    </w:rPr>
                    <w:t xml:space="preserve">IFC supports scale-up of grid-tied and off-grid clean energy by regulatory advice, improving access to finance, and addressing informational barriers to market development.  </w:t>
                  </w:r>
                </w:p>
              </w:txbxContent>
            </v:textbox>
          </v:shape>
        </w:pict>
      </w:r>
      <w:r w:rsidR="00F33DCD">
        <w:rPr>
          <w:noProof/>
        </w:rPr>
        <w:pict>
          <v:rect id="_x0000_s1030" style="position:absolute;margin-left:-58.9pt;margin-top:-.2pt;width:545.75pt;height:485.5pt;z-index:251660288;mso-wrap-edited:f;mso-position-horizontal-relative:text;mso-position-vertical-relative:text" wrapcoords="-80 0 -80 21306 21600 21306 21600 0 -80 0" fillcolor="#dbe5f1" stroked="f" strokecolor="#4a7ebb" strokeweight="1.5pt">
            <v:fill o:detectmouseclick="t"/>
            <v:shadow opacity="22938f" offset="0"/>
            <v:textbox inset=",7.2pt,,7.2pt"/>
            <w10:wrap type="tight"/>
          </v:rect>
        </w:pict>
      </w:r>
      <w:r w:rsidR="00F33DCD">
        <w:rPr>
          <w:noProof/>
        </w:rPr>
        <w:pict>
          <v:rect id="_x0000_s1045" style="position:absolute;margin-left:404.55pt;margin-top:554.1pt;width:134.4pt;height:16.8pt;rotation:270;z-index:251696128;mso-wrap-edited:f;mso-position-horizontal-relative:text;mso-position-vertical-relative:text" wrapcoords="-80 0 -80 21306 21600 21306 21600 0 -80 0" fillcolor="#17365d" stroked="f" strokecolor="#4a7ebb" strokeweight="1.5pt">
            <v:fill o:detectmouseclick="t"/>
            <v:shadow opacity="22938f" offset="0"/>
            <v:textbox inset=",7.2pt,,7.2pt"/>
            <w10:wrap type="tight"/>
          </v:rect>
        </w:pict>
      </w:r>
      <w:r w:rsidR="005E4E7C">
        <w:rPr>
          <w:noProof/>
        </w:rPr>
        <w:drawing>
          <wp:anchor distT="0" distB="0" distL="114300" distR="114300" simplePos="0" relativeHeight="251645948" behindDoc="0" locked="0" layoutInCell="1" allowOverlap="1">
            <wp:simplePos x="0" y="0"/>
            <wp:positionH relativeFrom="column">
              <wp:posOffset>2017939</wp:posOffset>
            </wp:positionH>
            <wp:positionV relativeFrom="paragraph">
              <wp:posOffset>6406787</wp:posOffset>
            </wp:positionV>
            <wp:extent cx="1917156" cy="1287962"/>
            <wp:effectExtent l="19050" t="19050" r="25944" b="26488"/>
            <wp:wrapNone/>
            <wp:docPr id="101" name="Picture 1" descr="C:\Users\ktheriault\Documents\IFC Working files\Lighting Africa\Media Kit\Photos\Students LED Accra G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eriault\Documents\IFC Working files\Lighting Africa\Media Kit\Photos\Students LED Accra Ghana.JPG"/>
                    <pic:cNvPicPr>
                      <a:picLocks noChangeAspect="1" noChangeArrowheads="1"/>
                    </pic:cNvPicPr>
                  </pic:nvPicPr>
                  <pic:blipFill>
                    <a:blip r:embed="rId12"/>
                    <a:srcRect/>
                    <a:stretch>
                      <a:fillRect/>
                    </a:stretch>
                  </pic:blipFill>
                  <pic:spPr bwMode="auto">
                    <a:xfrm>
                      <a:off x="0" y="0"/>
                      <a:ext cx="1917156" cy="1287962"/>
                    </a:xfrm>
                    <a:prstGeom prst="rect">
                      <a:avLst/>
                    </a:prstGeom>
                    <a:noFill/>
                    <a:ln w="9525">
                      <a:solidFill>
                        <a:srgbClr val="FFFFFF"/>
                      </a:solidFill>
                      <a:miter lim="800000"/>
                      <a:headEnd/>
                      <a:tailEnd/>
                    </a:ln>
                  </pic:spPr>
                </pic:pic>
              </a:graphicData>
            </a:graphic>
          </wp:anchor>
        </w:drawing>
      </w:r>
      <w:r w:rsidR="00F33DCD">
        <w:rPr>
          <w:noProof/>
        </w:rPr>
        <w:pict>
          <v:rect id="_x0000_s1046" style="position:absolute;margin-left:351.75pt;margin-top:495.3pt;width:134.4pt;height:10.75pt;z-index:251697152;mso-wrap-edited:f;mso-position-horizontal-relative:text;mso-position-vertical-relative:text" wrapcoords="-80 0 -80 21306 21600 21306 21600 0 -80 0" fillcolor="#17365d" stroked="f" strokecolor="#4a7ebb" strokeweight="1.5pt">
            <v:fill o:detectmouseclick="t"/>
            <v:shadow opacity="22938f" offset="0"/>
            <v:textbox inset=",7.2pt,,7.2pt"/>
            <w10:wrap type="tight"/>
          </v:rect>
        </w:pict>
      </w:r>
      <w:r w:rsidR="00F33DCD">
        <w:rPr>
          <w:noProof/>
        </w:rPr>
        <w:pict>
          <v:rect id="_x0000_s1044" style="position:absolute;margin-left:351.75pt;margin-top:605.05pt;width:134.4pt;height:16.25pt;z-index:251695104;mso-wrap-edited:f;mso-position-horizontal-relative:text;mso-position-vertical-relative:text" wrapcoords="-80 0 -80 21306 21600 21306 21600 0 -80 0" fillcolor="#17365d" stroked="f" strokecolor="#4a7ebb" strokeweight="1.5pt">
            <v:fill o:detectmouseclick="t"/>
            <v:shadow opacity="22938f" offset="0"/>
            <v:textbox inset=",7.2pt,,7.2pt"/>
            <w10:wrap type="tight"/>
          </v:rect>
        </w:pict>
      </w:r>
      <w:r w:rsidR="00F33DCD">
        <w:rPr>
          <w:noProof/>
        </w:rPr>
        <w:pict>
          <v:rect id="_x0000_s1039" style="position:absolute;margin-left:351.75pt;margin-top:495.3pt;width:134.4pt;height:148pt;z-index:-251626496;mso-wrap-edited:f;mso-position-horizontal-relative:text;mso-position-vertical-relative:text" wrapcoords="-80 0 -80 21306 21600 21306 21600 0 -80 0" fillcolor="#17365d" stroked="f" strokecolor="#4a7ebb" strokeweight="1.5pt">
            <v:fill o:detectmouseclick="t"/>
            <v:shadow opacity="22938f" offset="0"/>
            <v:textbox inset=",7.2pt,,7.2pt"/>
            <w10:wrap type="tight"/>
          </v:rect>
        </w:pict>
      </w:r>
      <w:r w:rsidR="00476FE8">
        <w:rPr>
          <w:noProof/>
        </w:rPr>
        <w:drawing>
          <wp:anchor distT="0" distB="0" distL="114300" distR="114300" simplePos="0" relativeHeight="251654144" behindDoc="0" locked="0" layoutInCell="1" allowOverlap="1">
            <wp:simplePos x="0" y="0"/>
            <wp:positionH relativeFrom="page">
              <wp:posOffset>4613275</wp:posOffset>
            </wp:positionH>
            <wp:positionV relativeFrom="page">
              <wp:posOffset>9226550</wp:posOffset>
            </wp:positionV>
            <wp:extent cx="2652395" cy="374015"/>
            <wp:effectExtent l="19050" t="0" r="0" b="0"/>
            <wp:wrapTight wrapText="bothSides">
              <wp:wrapPolygon edited="0">
                <wp:start x="-155" y="0"/>
                <wp:lineTo x="-155" y="20903"/>
                <wp:lineTo x="14893" y="20903"/>
                <wp:lineTo x="21564" y="16503"/>
                <wp:lineTo x="21564" y="8801"/>
                <wp:lineTo x="17530" y="0"/>
                <wp:lineTo x="-155" y="0"/>
              </wp:wrapPolygon>
            </wp:wrapTight>
            <wp:docPr id="40" name="Picture 31" descr="IFC Logo Black Fin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FC Logo Black Final.eps"/>
                    <pic:cNvPicPr>
                      <a:picLocks noChangeAspect="1" noChangeArrowheads="1"/>
                    </pic:cNvPicPr>
                  </pic:nvPicPr>
                  <pic:blipFill>
                    <a:blip r:embed="rId13"/>
                    <a:srcRect/>
                    <a:stretch>
                      <a:fillRect/>
                    </a:stretch>
                  </pic:blipFill>
                  <pic:spPr bwMode="auto">
                    <a:xfrm>
                      <a:off x="0" y="0"/>
                      <a:ext cx="2652395" cy="374015"/>
                    </a:xfrm>
                    <a:prstGeom prst="rect">
                      <a:avLst/>
                    </a:prstGeom>
                    <a:noFill/>
                    <a:ln w="9525">
                      <a:noFill/>
                      <a:miter lim="800000"/>
                      <a:headEnd/>
                      <a:tailEnd/>
                    </a:ln>
                  </pic:spPr>
                </pic:pic>
              </a:graphicData>
            </a:graphic>
          </wp:anchor>
        </w:drawing>
      </w:r>
      <w:r w:rsidR="00F33DCD">
        <w:rPr>
          <w:noProof/>
        </w:rPr>
        <w:pict>
          <v:shape id="_x0000_s1029" type="#_x0000_t202" style="position:absolute;margin-left:-57.15pt;margin-top:646.35pt;width:286pt;height:38.35pt;z-index:251653120;mso-wrap-edited:f;mso-position-horizontal-relative:text;mso-position-vertical-relative:text" wrapcoords="0 0 21600 0 21600 21600 0 21600 0 0" filled="f" stroked="f">
            <v:fill o:detectmouseclick="t"/>
            <v:textbox style="mso-next-textbox:#_x0000_s1029" inset="0,0,0,0">
              <w:txbxContent>
                <w:p w:rsidR="005E4E7C" w:rsidRPr="00476FE8" w:rsidRDefault="005E4E7C" w:rsidP="00476FE8">
                  <w:pPr>
                    <w:pStyle w:val="1-BODY"/>
                    <w:spacing w:after="0"/>
                    <w:rPr>
                      <w:rFonts w:ascii="Calibri" w:hAnsi="Calibri"/>
                      <w:sz w:val="20"/>
                      <w:szCs w:val="20"/>
                    </w:rPr>
                  </w:pPr>
                  <w:r w:rsidRPr="00476FE8">
                    <w:rPr>
                      <w:rFonts w:ascii="Calibri" w:hAnsi="Calibri"/>
                      <w:b/>
                      <w:sz w:val="20"/>
                      <w:szCs w:val="20"/>
                    </w:rPr>
                    <w:t>For more information, contact Maureen Shields Lorenzetti</w:t>
                  </w:r>
                  <w:r w:rsidRPr="00476FE8">
                    <w:rPr>
                      <w:rFonts w:ascii="Calibri" w:hAnsi="Calibri"/>
                      <w:sz w:val="20"/>
                      <w:szCs w:val="20"/>
                    </w:rPr>
                    <w:t xml:space="preserve"> </w:t>
                  </w:r>
                </w:p>
                <w:p w:rsidR="005E4E7C" w:rsidRPr="00476FE8" w:rsidRDefault="00F33DCD" w:rsidP="00476FE8">
                  <w:pPr>
                    <w:pStyle w:val="1-BODY"/>
                    <w:spacing w:after="0"/>
                    <w:rPr>
                      <w:rFonts w:ascii="Calibri" w:hAnsi="Calibri"/>
                      <w:sz w:val="20"/>
                      <w:szCs w:val="20"/>
                    </w:rPr>
                  </w:pPr>
                  <w:hyperlink r:id="rId14" w:history="1">
                    <w:r w:rsidR="005E4E7C" w:rsidRPr="00476FE8">
                      <w:rPr>
                        <w:rStyle w:val="Hyperlink"/>
                        <w:sz w:val="20"/>
                        <w:szCs w:val="20"/>
                      </w:rPr>
                      <w:t>mlorenzetti@ifc.org</w:t>
                    </w:r>
                  </w:hyperlink>
                  <w:r w:rsidR="005E4E7C" w:rsidRPr="00476FE8">
                    <w:rPr>
                      <w:sz w:val="20"/>
                      <w:szCs w:val="20"/>
                    </w:rPr>
                    <w:t xml:space="preserve">   </w:t>
                  </w:r>
                  <w:hyperlink r:id="rId15" w:history="1"/>
                  <w:r w:rsidR="005E4E7C" w:rsidRPr="00476FE8">
                    <w:rPr>
                      <w:rFonts w:ascii="Calibri" w:hAnsi="Calibri"/>
                      <w:sz w:val="20"/>
                      <w:szCs w:val="20"/>
                    </w:rPr>
                    <w:t>Tel. 1-202-473-8131</w:t>
                  </w:r>
                </w:p>
                <w:p w:rsidR="005E4E7C" w:rsidRPr="00544434" w:rsidRDefault="005E4E7C" w:rsidP="00476FE8">
                  <w:pPr>
                    <w:pStyle w:val="1-BODY"/>
                    <w:spacing w:after="0"/>
                    <w:rPr>
                      <w:rFonts w:ascii="Calibri" w:hAnsi="Calibri" w:cs="Arial"/>
                      <w:sz w:val="20"/>
                      <w:szCs w:val="16"/>
                    </w:rPr>
                  </w:pPr>
                  <w:r w:rsidRPr="00476FE8">
                    <w:rPr>
                      <w:rFonts w:ascii="Calibri" w:hAnsi="Calibri" w:cs="Arial"/>
                      <w:b/>
                      <w:sz w:val="20"/>
                      <w:szCs w:val="20"/>
                    </w:rPr>
                    <w:t>www.ifc.org/ClimateBusiness</w:t>
                  </w:r>
                </w:p>
                <w:p w:rsidR="005E4E7C" w:rsidRPr="00544434" w:rsidRDefault="005E4E7C" w:rsidP="004E3C5B">
                  <w:pPr>
                    <w:pStyle w:val="1-BODY"/>
                    <w:spacing w:after="0"/>
                    <w:rPr>
                      <w:rFonts w:ascii="Calibri" w:hAnsi="Calibri" w:cs="Arial"/>
                      <w:sz w:val="20"/>
                      <w:szCs w:val="16"/>
                    </w:rPr>
                  </w:pPr>
                </w:p>
              </w:txbxContent>
            </v:textbox>
            <w10:wrap type="tight"/>
          </v:shape>
        </w:pict>
      </w:r>
      <w:r w:rsidR="00BA36EE">
        <w:rPr>
          <w:noProof/>
        </w:rPr>
        <w:drawing>
          <wp:anchor distT="0" distB="0" distL="114300" distR="114300" simplePos="0" relativeHeight="251679744" behindDoc="1" locked="0" layoutInCell="1" allowOverlap="1">
            <wp:simplePos x="0" y="0"/>
            <wp:positionH relativeFrom="column">
              <wp:posOffset>-589915</wp:posOffset>
            </wp:positionH>
            <wp:positionV relativeFrom="paragraph">
              <wp:posOffset>6619875</wp:posOffset>
            </wp:positionV>
            <wp:extent cx="2654935" cy="1341755"/>
            <wp:effectExtent l="19050" t="0" r="0" b="0"/>
            <wp:wrapTight wrapText="bothSides">
              <wp:wrapPolygon edited="0">
                <wp:start x="-155" y="0"/>
                <wp:lineTo x="-155" y="21160"/>
                <wp:lineTo x="21543" y="21160"/>
                <wp:lineTo x="21543" y="0"/>
                <wp:lineTo x="-155" y="0"/>
              </wp:wrapPolygon>
            </wp:wrapTight>
            <wp:docPr id="93" name="Picture 0" descr="3 panels green 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 panels green energy.jpg"/>
                    <pic:cNvPicPr>
                      <a:picLocks noChangeAspect="1" noChangeArrowheads="1"/>
                    </pic:cNvPicPr>
                  </pic:nvPicPr>
                  <pic:blipFill>
                    <a:blip r:embed="rId16"/>
                    <a:srcRect/>
                    <a:stretch>
                      <a:fillRect/>
                    </a:stretch>
                  </pic:blipFill>
                  <pic:spPr bwMode="auto">
                    <a:xfrm>
                      <a:off x="0" y="0"/>
                      <a:ext cx="2654935" cy="1341755"/>
                    </a:xfrm>
                    <a:prstGeom prst="rect">
                      <a:avLst/>
                    </a:prstGeom>
                    <a:noFill/>
                    <a:ln w="9525">
                      <a:noFill/>
                      <a:miter lim="800000"/>
                      <a:headEnd/>
                      <a:tailEnd/>
                    </a:ln>
                  </pic:spPr>
                </pic:pic>
              </a:graphicData>
            </a:graphic>
          </wp:anchor>
        </w:drawing>
      </w:r>
      <w:r w:rsidR="00F33DCD">
        <w:rPr>
          <w:noProof/>
        </w:rPr>
        <w:pict>
          <v:rect id="_x0000_s1026" style="position:absolute;margin-left:-57.85pt;margin-top:491.55pt;width:202.6pt;height:148pt;z-index:-251667457;mso-wrap-edited:f;mso-position-horizontal-relative:text;mso-position-vertical-relative:text" wrapcoords="-80 0 -80 21306 21600 21306 21600 0 -80 0" fillcolor="#17365d" stroked="f" strokecolor="#4a7ebb" strokeweight="1.5pt">
            <v:fill o:detectmouseclick="t"/>
            <v:shadow opacity="22938f" offset="0"/>
            <v:textbox inset=",7.2pt,,7.2pt"/>
            <w10:wrap type="tight"/>
          </v:rect>
        </w:pict>
      </w:r>
      <w:r w:rsidR="00F33DCD">
        <w:rPr>
          <w:noProof/>
        </w:rPr>
        <w:pict>
          <v:shape id="_x0000_s1034" type="#_x0000_t202" style="position:absolute;margin-left:14.4pt;margin-top:488.25pt;width:144.6pt;height:146.65pt;z-index:251668480;mso-position-horizontal-relative:text;mso-position-vertical-relative:text" filled="f" stroked="f">
            <v:textbox style="mso-next-textbox:#_x0000_s1034">
              <w:txbxContent>
                <w:p w:rsidR="005E4E7C" w:rsidRPr="00EE417F" w:rsidRDefault="005E4E7C">
                  <w:pPr>
                    <w:rPr>
                      <w:rFonts w:ascii="Calibri" w:hAnsi="Calibri"/>
                      <w:sz w:val="18"/>
                      <w:szCs w:val="18"/>
                    </w:rPr>
                  </w:pPr>
                  <w:r w:rsidRPr="00EE417F">
                    <w:rPr>
                      <w:rFonts w:ascii="Calibri" w:hAnsi="Calibri" w:cs="Arial"/>
                      <w:b/>
                      <w:sz w:val="18"/>
                      <w:szCs w:val="18"/>
                    </w:rPr>
                    <w:t>IFC thanks the following donors</w:t>
                  </w:r>
                  <w:r w:rsidRPr="00EE417F">
                    <w:rPr>
                      <w:rFonts w:ascii="Calibri" w:hAnsi="Calibri" w:cs="Arial"/>
                      <w:sz w:val="18"/>
                      <w:szCs w:val="18"/>
                    </w:rPr>
                    <w:t xml:space="preserve"> </w:t>
                  </w:r>
                  <w:r w:rsidRPr="00CC0C21">
                    <w:rPr>
                      <w:rFonts w:ascii="Calibri" w:hAnsi="Calibri" w:cs="Arial"/>
                      <w:b/>
                      <w:sz w:val="18"/>
                      <w:szCs w:val="18"/>
                    </w:rPr>
                    <w:t>for their on-going support</w:t>
                  </w:r>
                  <w:r w:rsidRPr="00EE417F">
                    <w:rPr>
                      <w:rFonts w:ascii="Calibri" w:hAnsi="Calibri" w:cs="Arial"/>
                      <w:sz w:val="18"/>
                      <w:szCs w:val="18"/>
                    </w:rPr>
                    <w:t xml:space="preserve">: </w:t>
                  </w:r>
                  <w:r>
                    <w:rPr>
                      <w:rFonts w:ascii="Calibri" w:hAnsi="Calibri" w:cs="Arial"/>
                      <w:sz w:val="18"/>
                      <w:szCs w:val="18"/>
                    </w:rPr>
                    <w:t xml:space="preserve">         </w:t>
                  </w:r>
                  <w:r w:rsidRPr="00EE417F">
                    <w:rPr>
                      <w:rFonts w:ascii="Calibri" w:hAnsi="Calibri" w:cs="Arial"/>
                      <w:color w:val="000000"/>
                      <w:sz w:val="18"/>
                      <w:szCs w:val="18"/>
                    </w:rPr>
                    <w:t xml:space="preserve">the Global Environment Facility, the Climate Investment Funds, </w:t>
                  </w:r>
                  <w:r>
                    <w:rPr>
                      <w:rFonts w:ascii="Calibri" w:hAnsi="Calibri" w:cs="Arial"/>
                      <w:color w:val="000000"/>
                      <w:sz w:val="18"/>
                      <w:szCs w:val="18"/>
                    </w:rPr>
                    <w:t xml:space="preserve"> Canada, </w:t>
                  </w:r>
                  <w:r w:rsidRPr="00EE417F">
                    <w:rPr>
                      <w:rFonts w:ascii="Calibri" w:hAnsi="Calibri" w:cs="Arial"/>
                      <w:color w:val="000000"/>
                      <w:sz w:val="18"/>
                      <w:szCs w:val="18"/>
                    </w:rPr>
                    <w:t xml:space="preserve">Austria, </w:t>
                  </w:r>
                  <w:r>
                    <w:rPr>
                      <w:rFonts w:ascii="Calibri" w:hAnsi="Calibri" w:cs="Arial"/>
                      <w:color w:val="000000"/>
                      <w:sz w:val="18"/>
                      <w:szCs w:val="18"/>
                    </w:rPr>
                    <w:t xml:space="preserve"> </w:t>
                  </w:r>
                  <w:r w:rsidRPr="00EE417F">
                    <w:rPr>
                      <w:rFonts w:ascii="Calibri" w:hAnsi="Calibri" w:cs="Arial"/>
                      <w:color w:val="000000"/>
                      <w:sz w:val="18"/>
                      <w:szCs w:val="18"/>
                    </w:rPr>
                    <w:t>Denmark, Finland, Iceland, Ireland, Italy, Japan, Luxembourg, the Netherlands, New Zealand, Norway, Saxony, Spain, the Trust Fund for Environmentally and Socially Sustainable Development, the United Kingdom, and the United States.</w:t>
                  </w:r>
                </w:p>
              </w:txbxContent>
            </v:textbox>
          </v:shape>
        </w:pict>
      </w:r>
      <w:r w:rsidR="00F33DCD">
        <w:rPr>
          <w:noProof/>
        </w:rPr>
        <w:pict>
          <v:shape id="_x0000_s1028" type="#_x0000_t202" style="position:absolute;margin-left:174.15pt;margin-top:-56.75pt;width:306pt;height:39.95pt;z-index:251651072;mso-wrap-edited:f;mso-position-horizontal-relative:text;mso-position-vertical-relative:text" wrapcoords="0 0 21600 0 21600 21600 0 21600 0 0" filled="f" stroked="f">
            <v:fill o:detectmouseclick="t"/>
            <v:textbox style="mso-next-textbox:#_x0000_s1028" inset=",7.2pt,,7.2pt">
              <w:txbxContent>
                <w:p w:rsidR="005E4E7C" w:rsidRPr="008E7F8B" w:rsidRDefault="005E4E7C" w:rsidP="00E7080F">
                  <w:pPr>
                    <w:pStyle w:val="1-FactSheetTop"/>
                    <w:rPr>
                      <w:rFonts w:ascii="Calibri" w:hAnsi="Calibri"/>
                      <w:sz w:val="36"/>
                      <w:szCs w:val="32"/>
                    </w:rPr>
                  </w:pPr>
                  <w:r w:rsidRPr="008E7F8B">
                    <w:rPr>
                      <w:rFonts w:ascii="Calibri" w:hAnsi="Calibri"/>
                      <w:sz w:val="36"/>
                      <w:szCs w:val="32"/>
                    </w:rPr>
                    <w:t>Climate Business at IFC</w:t>
                  </w:r>
                </w:p>
                <w:p w:rsidR="005E4E7C" w:rsidRPr="008E7F8B" w:rsidRDefault="005E4E7C" w:rsidP="00E7080F">
                  <w:pPr>
                    <w:rPr>
                      <w:sz w:val="28"/>
                    </w:rPr>
                  </w:pPr>
                </w:p>
              </w:txbxContent>
            </v:textbox>
            <w10:wrap type="tight"/>
          </v:shape>
        </w:pict>
      </w:r>
      <w:r w:rsidR="00F33DCD">
        <w:rPr>
          <w:noProof/>
        </w:rPr>
        <w:pict>
          <v:rect id="_x0000_s1027" style="position:absolute;margin-left:-59.85pt;margin-top:-59.7pt;width:547.75pt;height:53.45pt;z-index:251650048;mso-wrap-edited:f;mso-position-horizontal-relative:text;mso-position-vertical-relative:text" wrapcoords="-45 -360 -45 21240 21645 21240 21645 -360 -45 -360" fillcolor="#17365d" stroked="f" strokecolor="#4a7ebb" strokeweight="1.5pt">
            <v:fill o:detectmouseclick="t"/>
            <v:shadow opacity="22938f" offset="0"/>
            <v:textbox inset=",7.2pt,,7.2pt"/>
            <w10:wrap type="tight"/>
          </v:rect>
        </w:pict>
      </w:r>
      <w:r w:rsidR="00F33DCD">
        <w:rPr>
          <w:noProof/>
        </w:rPr>
        <w:pict>
          <v:shape id="_x0000_s1031" type="#_x0000_t202" style="position:absolute;margin-left:-29pt;margin-top:-580.7pt;width:501.3pt;height:377.65pt;z-index:251662336;mso-position-horizontal-relative:text;mso-position-vertical-relative:text" filled="f" stroked="f">
            <v:textbox style="mso-next-textbox:#_x0000_s1031">
              <w:txbxContent>
                <w:p w:rsidR="005E4E7C" w:rsidRPr="00575603" w:rsidRDefault="005E4E7C" w:rsidP="005C6C8B">
                  <w:pPr>
                    <w:pStyle w:val="1-BodyHeader"/>
                  </w:pPr>
                  <w:r>
                    <w:t>An overview of IFC’s climate change activities</w:t>
                  </w:r>
                </w:p>
                <w:p w:rsidR="005E4E7C" w:rsidRDefault="005E4E7C" w:rsidP="005C6C8B">
                  <w:pPr>
                    <w:pStyle w:val="ListParagraph"/>
                    <w:ind w:left="0"/>
                    <w:rPr>
                      <w:rFonts w:ascii="Arial" w:hAnsi="Arial" w:cs="Arial"/>
                      <w:sz w:val="18"/>
                      <w:szCs w:val="18"/>
                    </w:rPr>
                  </w:pPr>
                  <w:proofErr w:type="gramStart"/>
                  <w:r>
                    <w:rPr>
                      <w:rFonts w:ascii="Arial" w:hAnsi="Arial" w:cs="Arial"/>
                      <w:b/>
                      <w:sz w:val="18"/>
                      <w:szCs w:val="18"/>
                    </w:rPr>
                    <w:t>Promoting</w:t>
                  </w:r>
                  <w:r w:rsidRPr="00575603">
                    <w:rPr>
                      <w:rFonts w:ascii="Arial" w:hAnsi="Arial" w:cs="Arial"/>
                      <w:b/>
                      <w:sz w:val="18"/>
                      <w:szCs w:val="18"/>
                    </w:rPr>
                    <w:t xml:space="preserve"> climate friendly investments using commercial funds.</w:t>
                  </w:r>
                  <w:proofErr w:type="gramEnd"/>
                  <w:r>
                    <w:rPr>
                      <w:rFonts w:ascii="Arial" w:hAnsi="Arial" w:cs="Arial"/>
                      <w:i/>
                      <w:sz w:val="18"/>
                      <w:szCs w:val="18"/>
                    </w:rPr>
                    <w:t xml:space="preserve"> </w:t>
                  </w:r>
                  <w:r w:rsidRPr="00575603">
                    <w:rPr>
                      <w:rFonts w:ascii="Arial" w:hAnsi="Arial" w:cs="Arial"/>
                      <w:sz w:val="18"/>
                      <w:szCs w:val="18"/>
                    </w:rPr>
                    <w:t xml:space="preserve"> IFC along with the World Bank pledged to grow its energy efficiency and new renewable energy lending by an </w:t>
                  </w:r>
                  <w:r w:rsidRPr="00575603">
                    <w:rPr>
                      <w:rFonts w:ascii="Arial" w:hAnsi="Arial" w:cs="Arial"/>
                      <w:i/>
                      <w:sz w:val="18"/>
                      <w:szCs w:val="18"/>
                    </w:rPr>
                    <w:t>average</w:t>
                  </w:r>
                  <w:r w:rsidRPr="00575603">
                    <w:rPr>
                      <w:rFonts w:ascii="Arial" w:hAnsi="Arial" w:cs="Arial"/>
                      <w:sz w:val="18"/>
                      <w:szCs w:val="18"/>
                    </w:rPr>
                    <w:t xml:space="preserve"> 20 percent per year beginning in FY05.  </w:t>
                  </w:r>
                  <w:r w:rsidRPr="00B24D70">
                    <w:rPr>
                      <w:rFonts w:ascii="Arial" w:hAnsi="Arial" w:cs="Arial"/>
                      <w:color w:val="FF0000"/>
                      <w:sz w:val="18"/>
                      <w:szCs w:val="18"/>
                    </w:rPr>
                    <w:t>This target has been met</w:t>
                  </w:r>
                  <w:r>
                    <w:rPr>
                      <w:rFonts w:ascii="Arial" w:hAnsi="Arial" w:cs="Arial"/>
                      <w:color w:val="FF0000"/>
                      <w:sz w:val="18"/>
                      <w:szCs w:val="18"/>
                    </w:rPr>
                    <w:t xml:space="preserve"> </w:t>
                  </w:r>
                  <w:r w:rsidRPr="00283912">
                    <w:rPr>
                      <w:rFonts w:ascii="Arial" w:hAnsi="Arial" w:cs="Arial"/>
                      <w:i/>
                      <w:color w:val="FF0000"/>
                      <w:sz w:val="18"/>
                      <w:szCs w:val="18"/>
                    </w:rPr>
                    <w:t>and exceeded</w:t>
                  </w:r>
                  <w:r w:rsidRPr="00B24D70">
                    <w:rPr>
                      <w:rFonts w:ascii="Arial" w:hAnsi="Arial" w:cs="Arial"/>
                      <w:color w:val="FF0000"/>
                      <w:sz w:val="18"/>
                      <w:szCs w:val="18"/>
                    </w:rPr>
                    <w:t>.</w:t>
                  </w:r>
                  <w:r w:rsidRPr="00575603">
                    <w:rPr>
                      <w:rFonts w:ascii="Arial" w:hAnsi="Arial" w:cs="Arial"/>
                      <w:sz w:val="18"/>
                      <w:szCs w:val="18"/>
                    </w:rPr>
                    <w:t xml:space="preserve">  IFC clean energy lending grew at an annual average of 51% per fiscal year over the last four</w:t>
                  </w:r>
                  <w:r w:rsidRPr="00575603">
                    <w:rPr>
                      <w:rFonts w:ascii="Arial" w:hAnsi="Arial" w:cs="Arial"/>
                      <w:i/>
                      <w:sz w:val="18"/>
                      <w:szCs w:val="18"/>
                    </w:rPr>
                    <w:t xml:space="preserve"> </w:t>
                  </w:r>
                  <w:r w:rsidRPr="00283912">
                    <w:rPr>
                      <w:rFonts w:ascii="Arial" w:hAnsi="Arial" w:cs="Arial"/>
                      <w:sz w:val="18"/>
                      <w:szCs w:val="18"/>
                    </w:rPr>
                    <w:t>fiscal years</w:t>
                  </w:r>
                  <w:r w:rsidRPr="00575603">
                    <w:rPr>
                      <w:rFonts w:ascii="Arial" w:hAnsi="Arial" w:cs="Arial"/>
                      <w:i/>
                      <w:sz w:val="18"/>
                      <w:szCs w:val="18"/>
                    </w:rPr>
                    <w:t xml:space="preserve"> </w:t>
                  </w:r>
                  <w:r w:rsidRPr="00575603">
                    <w:rPr>
                      <w:rFonts w:ascii="Arial" w:hAnsi="Arial" w:cs="Arial"/>
                      <w:sz w:val="18"/>
                      <w:szCs w:val="18"/>
                    </w:rPr>
                    <w:t xml:space="preserve">-- from $221 million in FY05 to $1,034 million in FY09.   IFC investments in clean energy often open new markets by introducing first of their kind technologies or financial products, e.g., a “merchant” wind power project in Chile in which power is sold </w:t>
                  </w:r>
                  <w:r w:rsidRPr="00B24D70">
                    <w:rPr>
                      <w:rFonts w:ascii="Arial" w:hAnsi="Arial" w:cs="Arial"/>
                      <w:color w:val="FF0000"/>
                      <w:sz w:val="18"/>
                      <w:szCs w:val="18"/>
                    </w:rPr>
                    <w:t>on the spot market</w:t>
                  </w:r>
                  <w:r w:rsidRPr="00575603">
                    <w:rPr>
                      <w:rFonts w:ascii="Arial" w:hAnsi="Arial" w:cs="Arial"/>
                      <w:sz w:val="18"/>
                      <w:szCs w:val="18"/>
                    </w:rPr>
                    <w:t xml:space="preserve"> without price guarantees.  </w:t>
                  </w:r>
                </w:p>
                <w:p w:rsidR="005E4E7C" w:rsidRPr="00E41AA9" w:rsidRDefault="005E4E7C" w:rsidP="005C6C8B">
                  <w:pPr>
                    <w:rPr>
                      <w:rFonts w:ascii="Arial" w:hAnsi="Arial" w:cs="Arial"/>
                      <w:i/>
                      <w:sz w:val="18"/>
                      <w:szCs w:val="18"/>
                    </w:rPr>
                  </w:pPr>
                  <w:proofErr w:type="gramStart"/>
                  <w:r w:rsidRPr="005B2453">
                    <w:rPr>
                      <w:rFonts w:ascii="Arial" w:hAnsi="Arial" w:cs="Arial"/>
                      <w:b/>
                      <w:sz w:val="18"/>
                      <w:szCs w:val="18"/>
                    </w:rPr>
                    <w:t>Cleaner production.</w:t>
                  </w:r>
                  <w:proofErr w:type="gramEnd"/>
                  <w:r>
                    <w:rPr>
                      <w:rFonts w:ascii="Arial" w:hAnsi="Arial" w:cs="Arial"/>
                      <w:sz w:val="18"/>
                      <w:szCs w:val="18"/>
                    </w:rPr>
                    <w:t xml:space="preserve"> </w:t>
                  </w:r>
                  <w:r w:rsidRPr="00B24D70">
                    <w:rPr>
                      <w:rFonts w:ascii="Arial" w:hAnsi="Arial" w:cs="Arial"/>
                      <w:sz w:val="18"/>
                      <w:szCs w:val="18"/>
                    </w:rPr>
                    <w:t>IFC</w:t>
                  </w:r>
                  <w:r>
                    <w:rPr>
                      <w:rFonts w:ascii="Arial" w:hAnsi="Arial" w:cs="Arial"/>
                      <w:sz w:val="18"/>
                      <w:szCs w:val="18"/>
                    </w:rPr>
                    <w:t xml:space="preserve"> offers </w:t>
                  </w:r>
                  <w:r w:rsidRPr="00E41AA9">
                    <w:rPr>
                      <w:rFonts w:ascii="Arial" w:hAnsi="Arial" w:cs="Arial"/>
                      <w:sz w:val="18"/>
                      <w:szCs w:val="18"/>
                    </w:rPr>
                    <w:t xml:space="preserve">existing and new clients a combined package of cleaner production audits and financing to implement recommendations for improving energy and resource efficiency through low cost, high return measures.  Programs are under implementation or being developed in Eastern Europe, South Asia, Latin America and Africa.  </w:t>
                  </w:r>
                  <w:r w:rsidRPr="00B24D70">
                    <w:rPr>
                      <w:rFonts w:ascii="Arial" w:hAnsi="Arial" w:cs="Arial"/>
                      <w:color w:val="FF0000"/>
                      <w:sz w:val="18"/>
                      <w:szCs w:val="18"/>
                    </w:rPr>
                    <w:t>Following a successful pilot program, a $125 million facility is now available with a streamlined process for approving related loans.</w:t>
                  </w:r>
                </w:p>
                <w:p w:rsidR="005E4E7C" w:rsidRPr="00E41AA9" w:rsidRDefault="005E4E7C" w:rsidP="005C6C8B">
                  <w:pPr>
                    <w:rPr>
                      <w:rFonts w:ascii="Arial" w:hAnsi="Arial" w:cs="Arial"/>
                      <w:i/>
                      <w:sz w:val="18"/>
                      <w:szCs w:val="18"/>
                    </w:rPr>
                  </w:pPr>
                  <w:r>
                    <w:rPr>
                      <w:rFonts w:ascii="Arial" w:hAnsi="Arial" w:cs="Arial"/>
                      <w:b/>
                      <w:sz w:val="18"/>
                      <w:szCs w:val="18"/>
                    </w:rPr>
                    <w:t>Clean technology.</w:t>
                  </w:r>
                  <w:r w:rsidRPr="00E41AA9">
                    <w:rPr>
                      <w:rFonts w:ascii="Arial" w:hAnsi="Arial" w:cs="Arial"/>
                      <w:i/>
                      <w:sz w:val="18"/>
                      <w:szCs w:val="18"/>
                    </w:rPr>
                    <w:t xml:space="preserve"> </w:t>
                  </w:r>
                  <w:r w:rsidRPr="00E41AA9">
                    <w:rPr>
                      <w:rFonts w:ascii="Arial" w:hAnsi="Arial" w:cs="Arial"/>
                      <w:sz w:val="18"/>
                      <w:szCs w:val="18"/>
                    </w:rPr>
                    <w:t xml:space="preserve">After a successful  initial experiment with donor funds, IFC is now investing </w:t>
                  </w:r>
                  <w:r w:rsidRPr="005B2453">
                    <w:rPr>
                      <w:rFonts w:ascii="Arial" w:hAnsi="Arial" w:cs="Arial"/>
                      <w:color w:val="FF0000"/>
                      <w:sz w:val="18"/>
                      <w:szCs w:val="18"/>
                    </w:rPr>
                    <w:t>for its own</w:t>
                  </w:r>
                  <w:r w:rsidRPr="00B24D70">
                    <w:rPr>
                      <w:rFonts w:ascii="Arial" w:hAnsi="Arial" w:cs="Arial"/>
                      <w:color w:val="FF0000"/>
                      <w:sz w:val="18"/>
                      <w:szCs w:val="18"/>
                    </w:rPr>
                    <w:t xml:space="preserve"> account</w:t>
                  </w:r>
                  <w:r w:rsidRPr="00E41AA9">
                    <w:rPr>
                      <w:rFonts w:ascii="Arial" w:hAnsi="Arial" w:cs="Arial"/>
                      <w:sz w:val="18"/>
                      <w:szCs w:val="18"/>
                    </w:rPr>
                    <w:t xml:space="preserve"> in early stage clean tech companies and private equity funds.  Investments in early stage climate friendly technologies are centrally coordinated with overall targets, across all sectors and industries, through IFC’s Information and Communication Technology Department. </w:t>
                  </w:r>
                  <w:r w:rsidRPr="00E41AA9">
                    <w:rPr>
                      <w:rFonts w:ascii="Arial" w:hAnsi="Arial" w:cs="Arial"/>
                      <w:i/>
                      <w:sz w:val="18"/>
                      <w:szCs w:val="18"/>
                    </w:rPr>
                    <w:t xml:space="preserve"> </w:t>
                  </w:r>
                  <w:r w:rsidRPr="00685684">
                    <w:rPr>
                      <w:rFonts w:ascii="Arial" w:hAnsi="Arial" w:cs="Arial"/>
                      <w:color w:val="FF0000"/>
                      <w:sz w:val="18"/>
                      <w:szCs w:val="18"/>
                    </w:rPr>
                    <w:t>Examples include a high efficiency turbine manufacturer in India and a Chinese company with dehumidification technology to improve energy efficiency in blast furnaces.</w:t>
                  </w:r>
                </w:p>
                <w:p w:rsidR="005E4E7C" w:rsidRPr="00E41AA9" w:rsidRDefault="005E4E7C" w:rsidP="005C6C8B">
                  <w:pPr>
                    <w:rPr>
                      <w:rFonts w:ascii="Arial" w:hAnsi="Arial" w:cs="Arial"/>
                      <w:i/>
                      <w:sz w:val="18"/>
                      <w:szCs w:val="18"/>
                    </w:rPr>
                  </w:pPr>
                  <w:proofErr w:type="gramStart"/>
                  <w:r>
                    <w:rPr>
                      <w:rFonts w:ascii="Arial" w:hAnsi="Arial" w:cs="Arial"/>
                      <w:b/>
                      <w:sz w:val="18"/>
                      <w:szCs w:val="18"/>
                    </w:rPr>
                    <w:t>Solar s</w:t>
                  </w:r>
                  <w:r w:rsidRPr="00B24D70">
                    <w:rPr>
                      <w:rFonts w:ascii="Arial" w:hAnsi="Arial" w:cs="Arial"/>
                      <w:b/>
                      <w:sz w:val="18"/>
                      <w:szCs w:val="18"/>
                    </w:rPr>
                    <w:t>trategy</w:t>
                  </w:r>
                  <w:r w:rsidRPr="00B24D70">
                    <w:rPr>
                      <w:rFonts w:ascii="Arial" w:hAnsi="Arial" w:cs="Arial"/>
                      <w:sz w:val="18"/>
                      <w:szCs w:val="18"/>
                    </w:rPr>
                    <w:t>.</w:t>
                  </w:r>
                  <w:proofErr w:type="gramEnd"/>
                  <w:r w:rsidRPr="00E41AA9">
                    <w:rPr>
                      <w:rFonts w:ascii="Arial" w:hAnsi="Arial" w:cs="Arial"/>
                      <w:i/>
                      <w:sz w:val="18"/>
                      <w:szCs w:val="18"/>
                    </w:rPr>
                    <w:t xml:space="preserve"> </w:t>
                  </w:r>
                  <w:r w:rsidRPr="00E41AA9">
                    <w:rPr>
                      <w:rFonts w:ascii="Arial" w:hAnsi="Arial" w:cs="Arial"/>
                      <w:sz w:val="18"/>
                      <w:szCs w:val="18"/>
                    </w:rPr>
                    <w:t>As solar energy applications have become increasingly commercial and equipment markets global, IFC has responded with an investment strategy across the solar value chain investing in materials, manufacturing, solar applications, and power generation.  Investments have included a supplier of materials for solar cell manufacture and two solar cell makers.</w:t>
                  </w:r>
                </w:p>
                <w:p w:rsidR="005E4E7C" w:rsidRPr="00685684" w:rsidRDefault="005E4E7C" w:rsidP="005C6C8B">
                  <w:pPr>
                    <w:pStyle w:val="ListParagraph"/>
                    <w:ind w:left="0"/>
                    <w:rPr>
                      <w:rFonts w:ascii="Arial" w:hAnsi="Arial" w:cs="Arial"/>
                      <w:i/>
                      <w:sz w:val="18"/>
                      <w:szCs w:val="18"/>
                    </w:rPr>
                  </w:pPr>
                  <w:proofErr w:type="gramStart"/>
                  <w:r w:rsidRPr="00B24D70">
                    <w:rPr>
                      <w:rFonts w:ascii="Arial" w:hAnsi="Arial" w:cs="Arial"/>
                      <w:b/>
                      <w:sz w:val="18"/>
                      <w:szCs w:val="18"/>
                    </w:rPr>
                    <w:t>Innovative concessional financing</w:t>
                  </w:r>
                  <w:r>
                    <w:rPr>
                      <w:rFonts w:ascii="Arial" w:hAnsi="Arial" w:cs="Arial"/>
                      <w:b/>
                      <w:sz w:val="18"/>
                      <w:szCs w:val="18"/>
                    </w:rPr>
                    <w:t>.</w:t>
                  </w:r>
                  <w:proofErr w:type="gramEnd"/>
                  <w:r w:rsidRPr="00E41AA9">
                    <w:rPr>
                      <w:rFonts w:ascii="Arial" w:hAnsi="Arial" w:cs="Arial"/>
                      <w:i/>
                      <w:sz w:val="18"/>
                      <w:szCs w:val="18"/>
                    </w:rPr>
                    <w:t xml:space="preserve"> </w:t>
                  </w:r>
                  <w:r w:rsidRPr="00E41AA9">
                    <w:rPr>
                      <w:rFonts w:ascii="Arial" w:hAnsi="Arial" w:cs="Arial"/>
                      <w:sz w:val="18"/>
                      <w:szCs w:val="18"/>
                    </w:rPr>
                    <w:t xml:space="preserve"> Funding from the Global Environment Facility (GEF) and more recently the Clean Technology Fund (CTF) has allowed IFC to pilot many pre-commercial sustainable energy projects.  The Clean Technology Fund will support an innovative wind project in Mexico. Some earlier projects undertaken with GEF support, such as a clean energy financing program, have established successful models for mainstream investments.  The GEF supported Earth Fund allows for streamlined approval cycles and the management of such </w:t>
                  </w:r>
                  <w:r>
                    <w:rPr>
                      <w:rFonts w:ascii="Arial" w:hAnsi="Arial" w:cs="Arial"/>
                      <w:sz w:val="18"/>
                      <w:szCs w:val="18"/>
                    </w:rPr>
                    <w:t xml:space="preserve">projects on a portfolio basis.  </w:t>
                  </w:r>
                  <w:r w:rsidRPr="00E41AA9">
                    <w:rPr>
                      <w:rFonts w:ascii="Arial" w:hAnsi="Arial" w:cs="Arial"/>
                      <w:sz w:val="18"/>
                      <w:szCs w:val="18"/>
                    </w:rPr>
                    <w:t xml:space="preserve">Other projects, such as the </w:t>
                  </w:r>
                  <w:r w:rsidRPr="00E41AA9">
                    <w:rPr>
                      <w:rFonts w:ascii="Arial" w:hAnsi="Arial" w:cs="Arial"/>
                      <w:i/>
                      <w:sz w:val="18"/>
                      <w:szCs w:val="18"/>
                    </w:rPr>
                    <w:t>Lighting Africa</w:t>
                  </w:r>
                  <w:r w:rsidRPr="00E41AA9">
                    <w:rPr>
                      <w:rFonts w:ascii="Arial" w:hAnsi="Arial" w:cs="Arial"/>
                      <w:sz w:val="18"/>
                      <w:szCs w:val="18"/>
                    </w:rPr>
                    <w:t xml:space="preserve"> program (www.lightingafrica.org) develop markets for new technologies and help meet the needs of the poor</w:t>
                  </w:r>
                  <w:r>
                    <w:rPr>
                      <w:rFonts w:ascii="Arial" w:hAnsi="Arial" w:cs="Arial"/>
                      <w:sz w:val="18"/>
                      <w:szCs w:val="18"/>
                    </w:rPr>
                    <w:t>.</w:t>
                  </w:r>
                </w:p>
                <w:p w:rsidR="005E4E7C" w:rsidRDefault="005E4E7C" w:rsidP="005C6C8B"/>
                <w:p w:rsidR="005E4E7C" w:rsidRDefault="005E4E7C" w:rsidP="005C6C8B"/>
              </w:txbxContent>
            </v:textbox>
          </v:shape>
        </w:pict>
      </w:r>
    </w:p>
    <w:sectPr w:rsidR="00E7080F" w:rsidSect="00E7080F">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EAB" w:rsidRDefault="00DE6EAB" w:rsidP="00CE44DA">
      <w:pPr>
        <w:spacing w:after="0"/>
      </w:pPr>
      <w:r>
        <w:separator/>
      </w:r>
    </w:p>
  </w:endnote>
  <w:endnote w:type="continuationSeparator" w:id="0">
    <w:p w:rsidR="00DE6EAB" w:rsidRDefault="00DE6EAB" w:rsidP="00CE44D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EAB" w:rsidRDefault="00DE6EAB" w:rsidP="00CE44DA">
      <w:pPr>
        <w:spacing w:after="0"/>
      </w:pPr>
      <w:r>
        <w:separator/>
      </w:r>
    </w:p>
  </w:footnote>
  <w:footnote w:type="continuationSeparator" w:id="0">
    <w:p w:rsidR="00DE6EAB" w:rsidRDefault="00DE6EAB" w:rsidP="00CE44D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163BB7"/>
    <w:multiLevelType w:val="hybridMultilevel"/>
    <w:tmpl w:val="57F26E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4A3D6D"/>
    <w:multiLevelType w:val="hybridMultilevel"/>
    <w:tmpl w:val="CB667E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A3D78D3"/>
    <w:multiLevelType w:val="hybridMultilevel"/>
    <w:tmpl w:val="101E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89772A"/>
    <w:multiLevelType w:val="hybridMultilevel"/>
    <w:tmpl w:val="723E4E5E"/>
    <w:lvl w:ilvl="0" w:tplc="FAD463B4">
      <w:start w:val="1"/>
      <w:numFmt w:val="bullet"/>
      <w:pStyle w:val="1-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rsids>
    <w:rsidRoot w:val="00AB06F1"/>
    <w:rsid w:val="00007671"/>
    <w:rsid w:val="000134CD"/>
    <w:rsid w:val="00020B32"/>
    <w:rsid w:val="00053D72"/>
    <w:rsid w:val="00055E86"/>
    <w:rsid w:val="000655EF"/>
    <w:rsid w:val="00082968"/>
    <w:rsid w:val="00083788"/>
    <w:rsid w:val="00083EB5"/>
    <w:rsid w:val="00090BC7"/>
    <w:rsid w:val="000B639C"/>
    <w:rsid w:val="000C574F"/>
    <w:rsid w:val="000D093E"/>
    <w:rsid w:val="000D0D61"/>
    <w:rsid w:val="001051EC"/>
    <w:rsid w:val="0010534C"/>
    <w:rsid w:val="00111800"/>
    <w:rsid w:val="001125A0"/>
    <w:rsid w:val="00135F75"/>
    <w:rsid w:val="001422F9"/>
    <w:rsid w:val="001719BF"/>
    <w:rsid w:val="001B2785"/>
    <w:rsid w:val="00202A68"/>
    <w:rsid w:val="00224224"/>
    <w:rsid w:val="00224D38"/>
    <w:rsid w:val="00235FB6"/>
    <w:rsid w:val="002419E7"/>
    <w:rsid w:val="00264244"/>
    <w:rsid w:val="0027678A"/>
    <w:rsid w:val="00283912"/>
    <w:rsid w:val="00284B96"/>
    <w:rsid w:val="00290DDA"/>
    <w:rsid w:val="002A5D0A"/>
    <w:rsid w:val="002A70A5"/>
    <w:rsid w:val="002B06EE"/>
    <w:rsid w:val="002E344D"/>
    <w:rsid w:val="00310014"/>
    <w:rsid w:val="00320298"/>
    <w:rsid w:val="00345B95"/>
    <w:rsid w:val="00351A5B"/>
    <w:rsid w:val="003577B3"/>
    <w:rsid w:val="003636FA"/>
    <w:rsid w:val="003A4A06"/>
    <w:rsid w:val="003B56DD"/>
    <w:rsid w:val="003C6CE6"/>
    <w:rsid w:val="003C709A"/>
    <w:rsid w:val="003D087B"/>
    <w:rsid w:val="003F0038"/>
    <w:rsid w:val="003F05C1"/>
    <w:rsid w:val="00402A28"/>
    <w:rsid w:val="0041253C"/>
    <w:rsid w:val="004136F2"/>
    <w:rsid w:val="00426886"/>
    <w:rsid w:val="00433479"/>
    <w:rsid w:val="00441278"/>
    <w:rsid w:val="00456581"/>
    <w:rsid w:val="00476FE8"/>
    <w:rsid w:val="00487493"/>
    <w:rsid w:val="004C098D"/>
    <w:rsid w:val="004C6C76"/>
    <w:rsid w:val="004D7BDC"/>
    <w:rsid w:val="004E3C5B"/>
    <w:rsid w:val="0051472F"/>
    <w:rsid w:val="0053090B"/>
    <w:rsid w:val="00536E9C"/>
    <w:rsid w:val="00544434"/>
    <w:rsid w:val="00575603"/>
    <w:rsid w:val="00584207"/>
    <w:rsid w:val="00587989"/>
    <w:rsid w:val="005B2453"/>
    <w:rsid w:val="005B26CF"/>
    <w:rsid w:val="005B3A5C"/>
    <w:rsid w:val="005C13D9"/>
    <w:rsid w:val="005C6C8B"/>
    <w:rsid w:val="005D4C63"/>
    <w:rsid w:val="005E4E7C"/>
    <w:rsid w:val="005E7B28"/>
    <w:rsid w:val="005F53F1"/>
    <w:rsid w:val="005F7B17"/>
    <w:rsid w:val="006062E3"/>
    <w:rsid w:val="006101E4"/>
    <w:rsid w:val="00632418"/>
    <w:rsid w:val="00637DBE"/>
    <w:rsid w:val="00673BE4"/>
    <w:rsid w:val="00677961"/>
    <w:rsid w:val="00685684"/>
    <w:rsid w:val="006A5056"/>
    <w:rsid w:val="006B1D45"/>
    <w:rsid w:val="006E1CA9"/>
    <w:rsid w:val="006E79B5"/>
    <w:rsid w:val="006F40D2"/>
    <w:rsid w:val="00705C12"/>
    <w:rsid w:val="007220C3"/>
    <w:rsid w:val="00737A69"/>
    <w:rsid w:val="007632A3"/>
    <w:rsid w:val="007640C2"/>
    <w:rsid w:val="00781E60"/>
    <w:rsid w:val="00796367"/>
    <w:rsid w:val="007A4E39"/>
    <w:rsid w:val="007B27D7"/>
    <w:rsid w:val="007C7A2F"/>
    <w:rsid w:val="007D103A"/>
    <w:rsid w:val="007D6DEA"/>
    <w:rsid w:val="00805CB6"/>
    <w:rsid w:val="008074D7"/>
    <w:rsid w:val="0084457A"/>
    <w:rsid w:val="00864B93"/>
    <w:rsid w:val="00887D3A"/>
    <w:rsid w:val="008A3F63"/>
    <w:rsid w:val="008B68FD"/>
    <w:rsid w:val="008E6287"/>
    <w:rsid w:val="008E7F8B"/>
    <w:rsid w:val="00901820"/>
    <w:rsid w:val="00947B20"/>
    <w:rsid w:val="00955562"/>
    <w:rsid w:val="009579D4"/>
    <w:rsid w:val="009663DC"/>
    <w:rsid w:val="009B2347"/>
    <w:rsid w:val="009D6DF8"/>
    <w:rsid w:val="009E6AFE"/>
    <w:rsid w:val="009F1CB5"/>
    <w:rsid w:val="00A018AB"/>
    <w:rsid w:val="00A0472E"/>
    <w:rsid w:val="00A25A5B"/>
    <w:rsid w:val="00A26822"/>
    <w:rsid w:val="00A53CBD"/>
    <w:rsid w:val="00A80A48"/>
    <w:rsid w:val="00A913AE"/>
    <w:rsid w:val="00A9201C"/>
    <w:rsid w:val="00AB06F1"/>
    <w:rsid w:val="00AB0B6D"/>
    <w:rsid w:val="00AB1D61"/>
    <w:rsid w:val="00B1440C"/>
    <w:rsid w:val="00B22C93"/>
    <w:rsid w:val="00B24D70"/>
    <w:rsid w:val="00B256D7"/>
    <w:rsid w:val="00B32F78"/>
    <w:rsid w:val="00B4369A"/>
    <w:rsid w:val="00B47A5E"/>
    <w:rsid w:val="00B947E0"/>
    <w:rsid w:val="00BA36EE"/>
    <w:rsid w:val="00BA7A6E"/>
    <w:rsid w:val="00BB3C79"/>
    <w:rsid w:val="00BB5319"/>
    <w:rsid w:val="00BD4201"/>
    <w:rsid w:val="00BD7573"/>
    <w:rsid w:val="00C02EF3"/>
    <w:rsid w:val="00C17863"/>
    <w:rsid w:val="00C32E84"/>
    <w:rsid w:val="00C607D6"/>
    <w:rsid w:val="00C71B82"/>
    <w:rsid w:val="00C94A36"/>
    <w:rsid w:val="00CB2001"/>
    <w:rsid w:val="00CC0C21"/>
    <w:rsid w:val="00CC3214"/>
    <w:rsid w:val="00CC7D7A"/>
    <w:rsid w:val="00CE34E0"/>
    <w:rsid w:val="00CE44DA"/>
    <w:rsid w:val="00CE6EFA"/>
    <w:rsid w:val="00CF0628"/>
    <w:rsid w:val="00CF1B15"/>
    <w:rsid w:val="00CF4FBC"/>
    <w:rsid w:val="00D03C35"/>
    <w:rsid w:val="00D23027"/>
    <w:rsid w:val="00D3447F"/>
    <w:rsid w:val="00D40A39"/>
    <w:rsid w:val="00D54ADB"/>
    <w:rsid w:val="00D66FB8"/>
    <w:rsid w:val="00D72866"/>
    <w:rsid w:val="00D74E87"/>
    <w:rsid w:val="00D81943"/>
    <w:rsid w:val="00DA3C95"/>
    <w:rsid w:val="00DA507E"/>
    <w:rsid w:val="00DD224A"/>
    <w:rsid w:val="00DD2A80"/>
    <w:rsid w:val="00DE6EAB"/>
    <w:rsid w:val="00E04D2E"/>
    <w:rsid w:val="00E425CF"/>
    <w:rsid w:val="00E7080F"/>
    <w:rsid w:val="00E8172F"/>
    <w:rsid w:val="00EA58C3"/>
    <w:rsid w:val="00EB1272"/>
    <w:rsid w:val="00EC0FC2"/>
    <w:rsid w:val="00EC6E5E"/>
    <w:rsid w:val="00ED11B2"/>
    <w:rsid w:val="00ED320A"/>
    <w:rsid w:val="00EE1990"/>
    <w:rsid w:val="00EE1E80"/>
    <w:rsid w:val="00EE417F"/>
    <w:rsid w:val="00EF0DD8"/>
    <w:rsid w:val="00EF4AE0"/>
    <w:rsid w:val="00EF506C"/>
    <w:rsid w:val="00F02E6D"/>
    <w:rsid w:val="00F04DB4"/>
    <w:rsid w:val="00F131AC"/>
    <w:rsid w:val="00F13904"/>
    <w:rsid w:val="00F309FF"/>
    <w:rsid w:val="00F311D3"/>
    <w:rsid w:val="00F33DCD"/>
    <w:rsid w:val="00F35F1B"/>
    <w:rsid w:val="00F50682"/>
    <w:rsid w:val="00F520E7"/>
    <w:rsid w:val="00F74800"/>
    <w:rsid w:val="00F82938"/>
    <w:rsid w:val="00F9208C"/>
    <w:rsid w:val="00F97CE3"/>
    <w:rsid w:val="00FA119D"/>
    <w:rsid w:val="00FB3524"/>
    <w:rsid w:val="00FC2A1A"/>
    <w:rsid w:val="00FD40DE"/>
    <w:rsid w:val="00FF0D79"/>
    <w:rsid w:val="00FF7EDD"/>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fillcolor="#dbe5f1" stroke="f" strokecolor="#4a7ebb">
      <v:fill color="#dbe5f1"/>
      <v:stroke color="#4a7ebb" weight="1.5pt" on="f"/>
      <v:shadow opacity="22938f" offset="0"/>
      <v:textbox inset=",7.2pt,,7.2pt"/>
      <o:colormru v:ext="edit" colors="#5e265c"/>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94FB1"/>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ODY">
    <w:name w:val="1-BODY"/>
    <w:basedOn w:val="Normal"/>
    <w:rsid w:val="006B374C"/>
    <w:pPr>
      <w:spacing w:line="264" w:lineRule="auto"/>
    </w:pPr>
    <w:rPr>
      <w:rFonts w:ascii="Arial" w:hAnsi="Arial"/>
      <w:sz w:val="18"/>
      <w:szCs w:val="18"/>
    </w:rPr>
  </w:style>
  <w:style w:type="paragraph" w:customStyle="1" w:styleId="1-BULLET">
    <w:name w:val="1-BULLET"/>
    <w:basedOn w:val="Normal"/>
    <w:rsid w:val="00DF55FE"/>
    <w:pPr>
      <w:numPr>
        <w:numId w:val="1"/>
      </w:numPr>
      <w:tabs>
        <w:tab w:val="clear" w:pos="720"/>
        <w:tab w:val="num" w:pos="360"/>
      </w:tabs>
      <w:spacing w:after="0" w:line="288" w:lineRule="auto"/>
      <w:ind w:left="360"/>
    </w:pPr>
    <w:rPr>
      <w:rFonts w:ascii="Arial" w:hAnsi="Arial"/>
      <w:sz w:val="18"/>
    </w:rPr>
  </w:style>
  <w:style w:type="paragraph" w:customStyle="1" w:styleId="1-HEADER">
    <w:name w:val="1-HEADER"/>
    <w:basedOn w:val="Normal"/>
    <w:rsid w:val="00ED1641"/>
    <w:pPr>
      <w:spacing w:line="336" w:lineRule="auto"/>
    </w:pPr>
    <w:rPr>
      <w:rFonts w:ascii="Arial" w:hAnsi="Arial"/>
      <w:sz w:val="40"/>
    </w:rPr>
  </w:style>
  <w:style w:type="paragraph" w:customStyle="1" w:styleId="1-HEADER2">
    <w:name w:val="1-HEADER 2"/>
    <w:basedOn w:val="Normal"/>
    <w:rsid w:val="008E7D7A"/>
    <w:pPr>
      <w:spacing w:line="360" w:lineRule="auto"/>
    </w:pPr>
    <w:rPr>
      <w:rFonts w:ascii="Arial" w:hAnsi="Arial"/>
      <w:b/>
      <w:i/>
      <w:sz w:val="26"/>
    </w:rPr>
  </w:style>
  <w:style w:type="paragraph" w:customStyle="1" w:styleId="1-SUBHEAD">
    <w:name w:val="1-SUBHEAD"/>
    <w:basedOn w:val="Normal"/>
    <w:rsid w:val="00ED1641"/>
    <w:pPr>
      <w:spacing w:line="360" w:lineRule="auto"/>
    </w:pPr>
    <w:rPr>
      <w:rFonts w:ascii="Arial" w:hAnsi="Arial"/>
      <w:b/>
      <w:color w:val="527B2B"/>
    </w:rPr>
  </w:style>
  <w:style w:type="paragraph" w:styleId="BalloonText">
    <w:name w:val="Balloon Text"/>
    <w:basedOn w:val="Normal"/>
    <w:semiHidden/>
    <w:rsid w:val="00CF4C6F"/>
    <w:rPr>
      <w:rFonts w:ascii="Lucida Grande" w:hAnsi="Lucida Grande"/>
      <w:sz w:val="18"/>
      <w:szCs w:val="18"/>
    </w:rPr>
  </w:style>
  <w:style w:type="paragraph" w:customStyle="1" w:styleId="1-FactSheetTop">
    <w:name w:val="1-Fact Sheet Top"/>
    <w:basedOn w:val="Normal"/>
    <w:qFormat/>
    <w:rsid w:val="00ED1641"/>
    <w:pPr>
      <w:widowControl w:val="0"/>
      <w:autoSpaceDE w:val="0"/>
      <w:autoSpaceDN w:val="0"/>
      <w:adjustRightInd w:val="0"/>
      <w:spacing w:after="120"/>
      <w:jc w:val="right"/>
    </w:pPr>
    <w:rPr>
      <w:rFonts w:ascii="Arial-BoldMT" w:hAnsi="Arial-BoldMT" w:cs="Arial-BoldMT"/>
      <w:b/>
      <w:bCs/>
      <w:caps/>
      <w:color w:val="FFFFFF"/>
      <w:szCs w:val="18"/>
    </w:rPr>
  </w:style>
  <w:style w:type="paragraph" w:customStyle="1" w:styleId="1-BodyHeader">
    <w:name w:val="1-Body Header"/>
    <w:qFormat/>
    <w:rsid w:val="00ED1641"/>
    <w:pPr>
      <w:spacing w:after="120"/>
    </w:pPr>
    <w:rPr>
      <w:rFonts w:ascii="Arial" w:hAnsi="Arial"/>
      <w:b/>
      <w:color w:val="5E265C"/>
      <w:sz w:val="22"/>
      <w:szCs w:val="24"/>
    </w:rPr>
  </w:style>
  <w:style w:type="paragraph" w:customStyle="1" w:styleId="1-BodySubhead1">
    <w:name w:val="1-Body Subhead 1"/>
    <w:basedOn w:val="Normal"/>
    <w:qFormat/>
    <w:rsid w:val="00ED1641"/>
    <w:pPr>
      <w:spacing w:before="240" w:after="120" w:line="264" w:lineRule="auto"/>
    </w:pPr>
    <w:rPr>
      <w:rFonts w:ascii="Arial" w:hAnsi="Arial"/>
      <w:caps/>
      <w:color w:val="527B2B"/>
      <w:sz w:val="18"/>
    </w:rPr>
  </w:style>
  <w:style w:type="paragraph" w:customStyle="1" w:styleId="1-IntroBody">
    <w:name w:val="1-Intro Body"/>
    <w:qFormat/>
    <w:rsid w:val="00ED1641"/>
    <w:pPr>
      <w:spacing w:after="200" w:line="288" w:lineRule="auto"/>
    </w:pPr>
    <w:rPr>
      <w:rFonts w:ascii="Arial" w:hAnsi="Arial"/>
      <w:color w:val="5E265C"/>
      <w:sz w:val="22"/>
      <w:szCs w:val="24"/>
    </w:rPr>
  </w:style>
  <w:style w:type="paragraph" w:customStyle="1" w:styleId="1-BoxSubhead">
    <w:name w:val="1-Box Subhead"/>
    <w:basedOn w:val="1-BodyHeader"/>
    <w:qFormat/>
    <w:rsid w:val="008B4F89"/>
    <w:rPr>
      <w:caps/>
      <w:sz w:val="20"/>
    </w:rPr>
  </w:style>
  <w:style w:type="paragraph" w:styleId="ListParagraph">
    <w:name w:val="List Paragraph"/>
    <w:basedOn w:val="Normal"/>
    <w:uiPriority w:val="34"/>
    <w:qFormat/>
    <w:rsid w:val="00575603"/>
    <w:pPr>
      <w:spacing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283912"/>
    <w:rPr>
      <w:color w:val="0000FF"/>
      <w:u w:val="single"/>
    </w:rPr>
  </w:style>
  <w:style w:type="table" w:styleId="TableGrid">
    <w:name w:val="Table Grid"/>
    <w:basedOn w:val="TableNormal"/>
    <w:uiPriority w:val="59"/>
    <w:rsid w:val="004C6C76"/>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C6C76"/>
    <w:rPr>
      <w:sz w:val="16"/>
      <w:szCs w:val="16"/>
    </w:rPr>
  </w:style>
  <w:style w:type="paragraph" w:styleId="NormalWeb">
    <w:name w:val="Normal (Web)"/>
    <w:basedOn w:val="Normal"/>
    <w:uiPriority w:val="99"/>
    <w:semiHidden/>
    <w:unhideWhenUsed/>
    <w:rsid w:val="004C6C76"/>
    <w:pPr>
      <w:spacing w:before="100" w:beforeAutospacing="1" w:after="100" w:afterAutospacing="1"/>
    </w:pPr>
    <w:rPr>
      <w:rFonts w:ascii="Times New Roman" w:eastAsia="Times New Roman" w:hAnsi="Times New Roman"/>
      <w:color w:val="000000"/>
    </w:rPr>
  </w:style>
  <w:style w:type="paragraph" w:styleId="Revision">
    <w:name w:val="Revision"/>
    <w:hidden/>
    <w:uiPriority w:val="71"/>
    <w:rsid w:val="000D0D61"/>
    <w:rPr>
      <w:sz w:val="24"/>
      <w:szCs w:val="24"/>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mlorenzetti@if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159EF-C8D9-4E1D-8B92-65467E98F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52</CharactersWithSpaces>
  <SharedDoc>false</SharedDoc>
  <HLinks>
    <vt:vector size="6" baseType="variant">
      <vt:variant>
        <vt:i4>8323167</vt:i4>
      </vt:variant>
      <vt:variant>
        <vt:i4>0</vt:i4>
      </vt:variant>
      <vt:variant>
        <vt:i4>0</vt:i4>
      </vt:variant>
      <vt:variant>
        <vt:i4>5</vt:i4>
      </vt:variant>
      <vt:variant>
        <vt:lpwstr>mailto:adizon@ifc.org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 User</dc:creator>
  <cp:lastModifiedBy>mlorenzetti</cp:lastModifiedBy>
  <cp:revision>2</cp:revision>
  <cp:lastPrinted>2011-11-23T15:10:00Z</cp:lastPrinted>
  <dcterms:created xsi:type="dcterms:W3CDTF">2011-11-27T01:54:00Z</dcterms:created>
  <dcterms:modified xsi:type="dcterms:W3CDTF">2011-11-27T01:54:00Z</dcterms:modified>
</cp:coreProperties>
</file>