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7D" w:rsidRDefault="00CD1C4D" w:rsidP="00B1346A">
      <w:pPr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914400" cy="9652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97D" w:rsidRDefault="00DD297D" w:rsidP="00E9429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D297D" w:rsidRDefault="00DD297D" w:rsidP="00E9429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D297D" w:rsidRDefault="00DD297D" w:rsidP="00E9429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Side Event</w:t>
      </w:r>
    </w:p>
    <w:p w:rsidR="00DD297D" w:rsidRDefault="00DD297D" w:rsidP="00E9429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D297D" w:rsidRPr="00E9429A" w:rsidRDefault="00DD297D" w:rsidP="008D63D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From Innovation to Market Transformation:  the role of the Global Environmental Facility (GEF) in Technology Transfer</w:t>
      </w:r>
      <w:r w:rsidRPr="00AB3588">
        <w:rPr>
          <w:rFonts w:ascii="Arial" w:hAnsi="Arial" w:cs="Arial"/>
          <w:b/>
          <w:sz w:val="24"/>
        </w:rPr>
        <w:t xml:space="preserve"> </w:t>
      </w:r>
    </w:p>
    <w:p w:rsidR="00DD297D" w:rsidRDefault="00DD297D" w:rsidP="00F01286">
      <w:pPr>
        <w:jc w:val="center"/>
        <w:rPr>
          <w:rFonts w:ascii="Arial" w:hAnsi="Arial" w:cs="Arial"/>
          <w:b/>
          <w:sz w:val="24"/>
        </w:rPr>
      </w:pPr>
    </w:p>
    <w:p w:rsidR="00DD297D" w:rsidRDefault="00DD297D" w:rsidP="00F01286">
      <w:pPr>
        <w:jc w:val="center"/>
        <w:rPr>
          <w:rFonts w:ascii="Arial" w:hAnsi="Arial" w:cs="Arial"/>
          <w:b/>
          <w:sz w:val="24"/>
        </w:rPr>
      </w:pPr>
    </w:p>
    <w:p w:rsidR="00DD297D" w:rsidRDefault="00DD297D" w:rsidP="00F01286">
      <w:pPr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at</w:t>
      </w:r>
      <w:proofErr w:type="gramEnd"/>
      <w:r>
        <w:rPr>
          <w:rFonts w:ascii="Arial" w:hAnsi="Arial" w:cs="Arial"/>
          <w:b/>
          <w:sz w:val="24"/>
        </w:rPr>
        <w:t xml:space="preserve"> the occasion of</w:t>
      </w:r>
    </w:p>
    <w:p w:rsidR="00DD297D" w:rsidRDefault="00DD297D" w:rsidP="00AB35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16</w:t>
      </w:r>
      <w:r w:rsidRPr="00AB3588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Conference of the Parties (COP) </w:t>
      </w:r>
    </w:p>
    <w:p w:rsidR="00DD297D" w:rsidRDefault="00DD297D" w:rsidP="00F0128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United Nations Framework Convention on Climate Change (UNFCCC)</w:t>
      </w:r>
    </w:p>
    <w:p w:rsidR="00DD297D" w:rsidRDefault="00DD297D" w:rsidP="00AB3588">
      <w:pPr>
        <w:jc w:val="center"/>
        <w:rPr>
          <w:rFonts w:ascii="Arial" w:hAnsi="Arial" w:cs="Arial"/>
          <w:b/>
          <w:sz w:val="24"/>
        </w:rPr>
      </w:pPr>
    </w:p>
    <w:p w:rsidR="00DD297D" w:rsidRDefault="00DD297D" w:rsidP="00AB3588">
      <w:pPr>
        <w:jc w:val="center"/>
        <w:rPr>
          <w:rFonts w:ascii="Arial" w:hAnsi="Arial" w:cs="Arial"/>
          <w:b/>
          <w:sz w:val="24"/>
        </w:rPr>
      </w:pPr>
    </w:p>
    <w:p w:rsidR="00DD297D" w:rsidRDefault="00DD297D" w:rsidP="002379B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Venue:  Room </w:t>
      </w:r>
      <w:proofErr w:type="spellStart"/>
      <w:r>
        <w:rPr>
          <w:rFonts w:ascii="Arial" w:hAnsi="Arial" w:cs="Arial"/>
          <w:b/>
          <w:sz w:val="24"/>
        </w:rPr>
        <w:t>Águila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b/>
            <w:sz w:val="24"/>
          </w:rPr>
          <w:t>Cancun</w:t>
        </w:r>
      </w:smartTag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Messe</w:t>
      </w:r>
      <w:proofErr w:type="spellEnd"/>
    </w:p>
    <w:p w:rsidR="00DD297D" w:rsidRDefault="00DD297D" w:rsidP="00AB3588">
      <w:pPr>
        <w:jc w:val="center"/>
        <w:rPr>
          <w:rFonts w:ascii="Arial" w:hAnsi="Arial" w:cs="Arial"/>
          <w:b/>
          <w:sz w:val="24"/>
        </w:rPr>
      </w:pPr>
    </w:p>
    <w:p w:rsidR="00DD297D" w:rsidRDefault="00DD297D" w:rsidP="00AB35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Date: 2 December 2010</w:t>
      </w:r>
    </w:p>
    <w:p w:rsidR="00DD297D" w:rsidRPr="002379B9" w:rsidRDefault="00DD297D" w:rsidP="002379B9">
      <w:pPr>
        <w:jc w:val="center"/>
        <w:rPr>
          <w:rFonts w:ascii="Arial" w:hAnsi="Arial" w:cs="Arial"/>
          <w:b/>
          <w:sz w:val="24"/>
        </w:rPr>
      </w:pPr>
      <w:r w:rsidRPr="002379B9">
        <w:rPr>
          <w:rFonts w:ascii="Arial" w:hAnsi="Arial" w:cs="Arial"/>
          <w:b/>
          <w:sz w:val="24"/>
        </w:rPr>
        <w:t xml:space="preserve">Time: </w:t>
      </w:r>
      <w:r>
        <w:rPr>
          <w:rFonts w:ascii="Arial" w:hAnsi="Arial" w:cs="Arial"/>
          <w:b/>
          <w:sz w:val="24"/>
        </w:rPr>
        <w:t>1:20PM–2:40PM</w:t>
      </w:r>
      <w:r w:rsidRPr="002379B9">
        <w:rPr>
          <w:rFonts w:ascii="Arial" w:hAnsi="Arial" w:cs="Arial"/>
          <w:b/>
          <w:sz w:val="24"/>
        </w:rPr>
        <w:t xml:space="preserve"> </w:t>
      </w:r>
    </w:p>
    <w:p w:rsidR="00DD297D" w:rsidRDefault="00DD297D" w:rsidP="00882789">
      <w:pPr>
        <w:jc w:val="center"/>
        <w:rPr>
          <w:rFonts w:ascii="Arial" w:hAnsi="Arial" w:cs="Arial"/>
          <w:sz w:val="24"/>
        </w:rPr>
      </w:pPr>
    </w:p>
    <w:p w:rsidR="00DD297D" w:rsidRPr="00882789" w:rsidRDefault="00DD297D" w:rsidP="0088278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DD297D" w:rsidRDefault="00DD297D" w:rsidP="00275977">
      <w:pPr>
        <w:ind w:left="1"/>
        <w:rPr>
          <w:rFonts w:ascii="Arial" w:hAnsi="Arial" w:cs="Arial"/>
        </w:rPr>
      </w:pPr>
      <w:r>
        <w:rPr>
          <w:rFonts w:ascii="Arial" w:hAnsi="Arial" w:cs="Arial"/>
        </w:rPr>
        <w:t>The Global Environment Facility (GEF) has been financing technology transfer for mitigation and adaptation under COP guidance, with a mandate</w:t>
      </w:r>
      <w:r w:rsidRPr="007F6B5B">
        <w:rPr>
          <w:rFonts w:ascii="Arial" w:hAnsi="Arial" w:cs="Arial"/>
        </w:rPr>
        <w:t xml:space="preserve"> on technology transfer</w:t>
      </w:r>
      <w:r>
        <w:rPr>
          <w:rFonts w:ascii="Arial" w:hAnsi="Arial" w:cs="Arial"/>
        </w:rPr>
        <w:t xml:space="preserve"> (</w:t>
      </w:r>
      <w:r w:rsidRPr="007F6B5B">
        <w:rPr>
          <w:rFonts w:ascii="Arial" w:hAnsi="Arial" w:cs="Arial"/>
        </w:rPr>
        <w:t>COP decision 2/CP.14</w:t>
      </w:r>
      <w:r>
        <w:rPr>
          <w:rFonts w:ascii="Arial" w:hAnsi="Arial" w:cs="Arial"/>
        </w:rPr>
        <w:t>).</w:t>
      </w:r>
    </w:p>
    <w:p w:rsidR="00DD297D" w:rsidRDefault="00DD297D" w:rsidP="008D63D3">
      <w:pPr>
        <w:rPr>
          <w:rFonts w:ascii="Arial" w:hAnsi="Arial" w:cs="Arial"/>
        </w:rPr>
      </w:pPr>
    </w:p>
    <w:p w:rsidR="00DD297D" w:rsidRDefault="006275F9" w:rsidP="008D6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side event </w:t>
      </w:r>
      <w:r w:rsidR="00DD297D">
        <w:rPr>
          <w:rFonts w:ascii="Arial" w:hAnsi="Arial" w:cs="Arial"/>
        </w:rPr>
        <w:t>highlight</w:t>
      </w:r>
      <w:r>
        <w:rPr>
          <w:rFonts w:ascii="Arial" w:hAnsi="Arial" w:cs="Arial"/>
        </w:rPr>
        <w:t>ed</w:t>
      </w:r>
      <w:r w:rsidR="00DD297D">
        <w:rPr>
          <w:rFonts w:ascii="Arial" w:hAnsi="Arial" w:cs="Arial"/>
        </w:rPr>
        <w:t xml:space="preserve"> the role played by the GEF in facilitating technology transfer from innovation to market transformation to help ad</w:t>
      </w:r>
      <w:r>
        <w:rPr>
          <w:rFonts w:ascii="Arial" w:hAnsi="Arial" w:cs="Arial"/>
        </w:rPr>
        <w:t>dre</w:t>
      </w:r>
      <w:r w:rsidR="00EC0C1F">
        <w:rPr>
          <w:rFonts w:ascii="Arial" w:hAnsi="Arial" w:cs="Arial"/>
        </w:rPr>
        <w:t xml:space="preserve">ss climate change challenges for both mitigation and adaptation.  </w:t>
      </w:r>
      <w:r>
        <w:rPr>
          <w:rFonts w:ascii="Arial" w:hAnsi="Arial" w:cs="Arial"/>
        </w:rPr>
        <w:t>The event</w:t>
      </w:r>
      <w:r w:rsidR="00DD297D">
        <w:rPr>
          <w:rFonts w:ascii="Arial" w:hAnsi="Arial" w:cs="Arial"/>
        </w:rPr>
        <w:t xml:space="preserve"> also feature</w:t>
      </w:r>
      <w:r>
        <w:rPr>
          <w:rFonts w:ascii="Arial" w:hAnsi="Arial" w:cs="Arial"/>
        </w:rPr>
        <w:t>d</w:t>
      </w:r>
      <w:r w:rsidR="00DD297D">
        <w:rPr>
          <w:rFonts w:ascii="Arial" w:hAnsi="Arial" w:cs="Arial"/>
        </w:rPr>
        <w:t xml:space="preserve"> country-level experiences</w:t>
      </w:r>
      <w:r>
        <w:rPr>
          <w:rFonts w:ascii="Arial" w:hAnsi="Arial" w:cs="Arial"/>
        </w:rPr>
        <w:t xml:space="preserve"> </w:t>
      </w:r>
      <w:r w:rsidR="00DD297D">
        <w:rPr>
          <w:rFonts w:ascii="Arial" w:hAnsi="Arial" w:cs="Arial"/>
        </w:rPr>
        <w:t>in technology transfer-related activities supported by the GEF</w:t>
      </w:r>
      <w:r>
        <w:rPr>
          <w:rFonts w:ascii="Arial" w:hAnsi="Arial" w:cs="Arial"/>
        </w:rPr>
        <w:t xml:space="preserve"> </w:t>
      </w:r>
      <w:r w:rsidRPr="006275F9">
        <w:rPr>
          <w:rFonts w:ascii="Arial" w:hAnsi="Arial" w:cs="Arial"/>
        </w:rPr>
        <w:t>from Egypt, Jordan, and Mexico</w:t>
      </w:r>
      <w:r w:rsidR="00DD297D">
        <w:rPr>
          <w:rFonts w:ascii="Arial" w:hAnsi="Arial" w:cs="Arial"/>
        </w:rPr>
        <w:t xml:space="preserve">. </w:t>
      </w:r>
    </w:p>
    <w:p w:rsidR="00DD297D" w:rsidRDefault="00DD297D" w:rsidP="008D63D3">
      <w:pPr>
        <w:rPr>
          <w:rFonts w:ascii="Arial" w:hAnsi="Arial" w:cs="Arial"/>
        </w:rPr>
      </w:pPr>
    </w:p>
    <w:p w:rsidR="00DD297D" w:rsidRPr="00275977" w:rsidRDefault="00691722" w:rsidP="008D63D3">
      <w:pPr>
        <w:rPr>
          <w:sz w:val="28"/>
          <w:szCs w:val="28"/>
        </w:rPr>
      </w:pPr>
      <w:r>
        <w:rPr>
          <w:rFonts w:ascii="Arial" w:hAnsi="Arial" w:cs="Arial"/>
        </w:rPr>
        <w:t>In addition, t</w:t>
      </w:r>
      <w:r w:rsidR="006275F9">
        <w:rPr>
          <w:rFonts w:ascii="Arial" w:hAnsi="Arial" w:cs="Arial"/>
        </w:rPr>
        <w:t xml:space="preserve">he event </w:t>
      </w:r>
      <w:r w:rsidR="00DD297D">
        <w:rPr>
          <w:rFonts w:ascii="Arial" w:hAnsi="Arial" w:cs="Arial"/>
        </w:rPr>
        <w:t>introduce</w:t>
      </w:r>
      <w:r w:rsidR="006275F9">
        <w:rPr>
          <w:rFonts w:ascii="Arial" w:hAnsi="Arial" w:cs="Arial"/>
        </w:rPr>
        <w:t>d</w:t>
      </w:r>
      <w:r w:rsidR="00DD297D">
        <w:rPr>
          <w:rFonts w:ascii="Arial" w:hAnsi="Arial" w:cs="Arial"/>
        </w:rPr>
        <w:t xml:space="preserve"> the proposed Long-Term Program on Technology Transfer, which the GEF was requested by the COP to develop to further assist developing countries in technology transfer.</w:t>
      </w:r>
    </w:p>
    <w:p w:rsidR="00DD297D" w:rsidRDefault="00DD297D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297D" w:rsidRPr="00392C89" w:rsidRDefault="00DD297D" w:rsidP="00B85F7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92C89">
        <w:rPr>
          <w:rFonts w:ascii="Arial" w:hAnsi="Arial" w:cs="Arial"/>
          <w:b/>
          <w:i/>
          <w:sz w:val="28"/>
          <w:szCs w:val="28"/>
        </w:rPr>
        <w:lastRenderedPageBreak/>
        <w:t>AGENDA</w:t>
      </w:r>
    </w:p>
    <w:p w:rsidR="00DD297D" w:rsidRPr="00B85F75" w:rsidRDefault="00DD297D" w:rsidP="00B85F7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"/>
        <w:gridCol w:w="4210"/>
        <w:gridCol w:w="3554"/>
      </w:tblGrid>
      <w:tr w:rsidR="00DD297D" w:rsidRPr="00E02BEA" w:rsidTr="000C2F61">
        <w:tc>
          <w:tcPr>
            <w:tcW w:w="1478" w:type="dxa"/>
            <w:shd w:val="clear" w:color="auto" w:fill="95B3D7" w:themeFill="accent1" w:themeFillTint="99"/>
            <w:vAlign w:val="center"/>
          </w:tcPr>
          <w:p w:rsidR="00DD297D" w:rsidRPr="00E02BEA" w:rsidRDefault="00DD297D" w:rsidP="00E02BEA">
            <w:pPr>
              <w:jc w:val="center"/>
              <w:rPr>
                <w:rFonts w:ascii="Arial" w:hAnsi="Arial" w:cs="Arial"/>
                <w:b/>
              </w:rPr>
            </w:pPr>
            <w:r w:rsidRPr="00E02BE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210" w:type="dxa"/>
            <w:shd w:val="clear" w:color="auto" w:fill="95B3D7" w:themeFill="accent1" w:themeFillTint="99"/>
            <w:vAlign w:val="center"/>
          </w:tcPr>
          <w:p w:rsidR="00DD297D" w:rsidRPr="00E02BEA" w:rsidRDefault="00DD297D" w:rsidP="00E02BEA">
            <w:pPr>
              <w:jc w:val="center"/>
              <w:rPr>
                <w:rFonts w:ascii="Arial" w:hAnsi="Arial" w:cs="Arial"/>
                <w:b/>
              </w:rPr>
            </w:pPr>
            <w:r w:rsidRPr="00E02BEA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554" w:type="dxa"/>
            <w:shd w:val="clear" w:color="auto" w:fill="95B3D7" w:themeFill="accent1" w:themeFillTint="99"/>
            <w:vAlign w:val="center"/>
          </w:tcPr>
          <w:p w:rsidR="00DD297D" w:rsidRPr="00E02BEA" w:rsidRDefault="00DD297D" w:rsidP="00E02BEA">
            <w:pPr>
              <w:jc w:val="center"/>
              <w:rPr>
                <w:rFonts w:ascii="Arial" w:hAnsi="Arial" w:cs="Arial"/>
                <w:b/>
              </w:rPr>
            </w:pPr>
            <w:r w:rsidRPr="00E02BEA">
              <w:rPr>
                <w:rFonts w:ascii="Arial" w:hAnsi="Arial" w:cs="Arial"/>
                <w:b/>
              </w:rPr>
              <w:t>Speaker</w:t>
            </w:r>
          </w:p>
        </w:tc>
      </w:tr>
      <w:tr w:rsidR="00DD297D" w:rsidRPr="00E02BEA" w:rsidTr="00E02BEA">
        <w:tc>
          <w:tcPr>
            <w:tcW w:w="1478" w:type="dxa"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>13:20—13:30</w:t>
            </w:r>
          </w:p>
        </w:tc>
        <w:tc>
          <w:tcPr>
            <w:tcW w:w="4210" w:type="dxa"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  <w:b/>
              </w:rPr>
            </w:pPr>
            <w:r w:rsidRPr="00E02BEA">
              <w:rPr>
                <w:rFonts w:ascii="Arial" w:hAnsi="Arial" w:cs="Arial"/>
                <w:b/>
              </w:rPr>
              <w:t>Opening Remarks and Welcome</w:t>
            </w:r>
          </w:p>
        </w:tc>
        <w:tc>
          <w:tcPr>
            <w:tcW w:w="3554" w:type="dxa"/>
          </w:tcPr>
          <w:p w:rsidR="00DD297D" w:rsidRPr="00E02BEA" w:rsidRDefault="00DD297D" w:rsidP="000C2F61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>Dr. Robert Dixon, Team Leader, Climate and Chemicals Team</w:t>
            </w:r>
            <w:r w:rsidR="000C2F61">
              <w:rPr>
                <w:rFonts w:ascii="Arial" w:hAnsi="Arial" w:cs="Arial"/>
              </w:rPr>
              <w:t xml:space="preserve">, </w:t>
            </w:r>
            <w:r w:rsidR="000C2F61" w:rsidRPr="000C2F61">
              <w:rPr>
                <w:rFonts w:ascii="Arial" w:hAnsi="Arial" w:cs="Arial"/>
              </w:rPr>
              <w:t>GEF</w:t>
            </w:r>
          </w:p>
        </w:tc>
      </w:tr>
      <w:tr w:rsidR="00DD297D" w:rsidRPr="00E02BEA" w:rsidTr="00E02BEA">
        <w:tc>
          <w:tcPr>
            <w:tcW w:w="1478" w:type="dxa"/>
            <w:vMerge w:val="restart"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>13:30—13:50</w:t>
            </w:r>
          </w:p>
        </w:tc>
        <w:tc>
          <w:tcPr>
            <w:tcW w:w="4210" w:type="dxa"/>
            <w:tcBorders>
              <w:bottom w:val="nil"/>
            </w:tcBorders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  <w:b/>
              </w:rPr>
            </w:pPr>
            <w:r w:rsidRPr="00E02BEA">
              <w:rPr>
                <w:rFonts w:ascii="Arial" w:hAnsi="Arial" w:cs="Arial"/>
                <w:b/>
              </w:rPr>
              <w:t>GEF Experience in Technology Transfer and GEF-5 Priorities</w:t>
            </w:r>
          </w:p>
        </w:tc>
        <w:tc>
          <w:tcPr>
            <w:tcW w:w="3554" w:type="dxa"/>
            <w:tcBorders>
              <w:bottom w:val="nil"/>
            </w:tcBorders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</w:p>
        </w:tc>
      </w:tr>
      <w:tr w:rsidR="00DD297D" w:rsidRPr="00E02BEA" w:rsidTr="00E02BEA">
        <w:tc>
          <w:tcPr>
            <w:tcW w:w="1478" w:type="dxa"/>
            <w:vMerge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>Mitigation Program</w:t>
            </w:r>
          </w:p>
        </w:tc>
        <w:tc>
          <w:tcPr>
            <w:tcW w:w="3554" w:type="dxa"/>
            <w:tcBorders>
              <w:top w:val="nil"/>
              <w:bottom w:val="nil"/>
            </w:tcBorders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 xml:space="preserve">Dr. </w:t>
            </w:r>
            <w:proofErr w:type="spellStart"/>
            <w:r w:rsidRPr="00E02BEA">
              <w:rPr>
                <w:rFonts w:ascii="Arial" w:hAnsi="Arial" w:cs="Arial"/>
              </w:rPr>
              <w:t>Zhihong</w:t>
            </w:r>
            <w:proofErr w:type="spellEnd"/>
            <w:r w:rsidRPr="00E02BEA">
              <w:rPr>
                <w:rFonts w:ascii="Arial" w:hAnsi="Arial" w:cs="Arial"/>
              </w:rPr>
              <w:t xml:space="preserve"> Zhang, Climate Mitigation Coordinator, GEF</w:t>
            </w:r>
          </w:p>
        </w:tc>
      </w:tr>
      <w:tr w:rsidR="00DD297D" w:rsidRPr="00E02BEA" w:rsidTr="00E02BEA">
        <w:tc>
          <w:tcPr>
            <w:tcW w:w="1478" w:type="dxa"/>
            <w:vMerge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10" w:type="dxa"/>
            <w:tcBorders>
              <w:top w:val="nil"/>
            </w:tcBorders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>Adaptation Program</w:t>
            </w:r>
          </w:p>
        </w:tc>
        <w:tc>
          <w:tcPr>
            <w:tcW w:w="3554" w:type="dxa"/>
            <w:tcBorders>
              <w:top w:val="nil"/>
            </w:tcBorders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 xml:space="preserve">Dr. </w:t>
            </w:r>
            <w:proofErr w:type="spellStart"/>
            <w:r w:rsidRPr="00E02BEA">
              <w:rPr>
                <w:rFonts w:ascii="Arial" w:hAnsi="Arial" w:cs="Arial"/>
              </w:rPr>
              <w:t>Bonizella</w:t>
            </w:r>
            <w:proofErr w:type="spellEnd"/>
            <w:r w:rsidRPr="00E02BEA">
              <w:rPr>
                <w:rFonts w:ascii="Arial" w:hAnsi="Arial" w:cs="Arial"/>
              </w:rPr>
              <w:t xml:space="preserve"> </w:t>
            </w:r>
            <w:proofErr w:type="spellStart"/>
            <w:r w:rsidRPr="00E02BEA">
              <w:rPr>
                <w:rFonts w:ascii="Arial" w:hAnsi="Arial" w:cs="Arial"/>
              </w:rPr>
              <w:t>Biagini</w:t>
            </w:r>
            <w:proofErr w:type="spellEnd"/>
            <w:r w:rsidRPr="00E02BE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Head, Climate Change Adaptation Strategy and Operations</w:t>
            </w:r>
            <w:r w:rsidRPr="00E02BEA">
              <w:rPr>
                <w:rFonts w:ascii="Arial" w:hAnsi="Arial" w:cs="Arial"/>
              </w:rPr>
              <w:t>, GEF</w:t>
            </w:r>
          </w:p>
        </w:tc>
      </w:tr>
      <w:tr w:rsidR="00DD297D" w:rsidRPr="00E02BEA" w:rsidTr="00E02BEA">
        <w:tc>
          <w:tcPr>
            <w:tcW w:w="1478" w:type="dxa"/>
            <w:vMerge w:val="restart"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>13:50—14:20</w:t>
            </w:r>
          </w:p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10" w:type="dxa"/>
            <w:tcBorders>
              <w:bottom w:val="nil"/>
            </w:tcBorders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  <w:b/>
              </w:rPr>
              <w:t>Experiences from Countries</w:t>
            </w:r>
          </w:p>
        </w:tc>
        <w:tc>
          <w:tcPr>
            <w:tcW w:w="3554" w:type="dxa"/>
            <w:tcBorders>
              <w:bottom w:val="nil"/>
            </w:tcBorders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</w:p>
        </w:tc>
      </w:tr>
      <w:tr w:rsidR="00D952BC" w:rsidRPr="00E02BEA" w:rsidTr="000371C9">
        <w:trPr>
          <w:trHeight w:val="1177"/>
        </w:trPr>
        <w:tc>
          <w:tcPr>
            <w:tcW w:w="1478" w:type="dxa"/>
            <w:vMerge/>
          </w:tcPr>
          <w:p w:rsidR="00D952BC" w:rsidRPr="00E02BEA" w:rsidRDefault="00D952BC" w:rsidP="00E02BE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10" w:type="dxa"/>
            <w:tcBorders>
              <w:top w:val="nil"/>
            </w:tcBorders>
          </w:tcPr>
          <w:p w:rsidR="00D952BC" w:rsidRPr="00D952BC" w:rsidRDefault="00D952BC" w:rsidP="00E02BE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Egypt:</w:t>
            </w:r>
            <w:r>
              <w:rPr>
                <w:rFonts w:ascii="Arial" w:hAnsi="Arial" w:cs="Arial"/>
              </w:rPr>
              <w:t xml:space="preserve"> </w:t>
            </w:r>
            <w:r w:rsidR="001A062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Concentrating Solar Power Experience</w:t>
            </w:r>
          </w:p>
        </w:tc>
        <w:tc>
          <w:tcPr>
            <w:tcW w:w="3554" w:type="dxa"/>
            <w:tcBorders>
              <w:top w:val="nil"/>
            </w:tcBorders>
          </w:tcPr>
          <w:p w:rsidR="00D952BC" w:rsidRDefault="001A0624" w:rsidP="00E02BEA">
            <w:pPr>
              <w:jc w:val="left"/>
              <w:rPr>
                <w:rFonts w:ascii="Arial" w:hAnsi="Arial" w:cs="Arial"/>
              </w:rPr>
            </w:pPr>
            <w:r w:rsidRPr="001A0624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A0624">
              <w:rPr>
                <w:rFonts w:ascii="Arial" w:hAnsi="Arial" w:cs="Arial"/>
              </w:rPr>
              <w:t>Elsayed</w:t>
            </w:r>
            <w:proofErr w:type="spellEnd"/>
            <w:r w:rsidRPr="001A0624">
              <w:rPr>
                <w:rFonts w:ascii="Arial" w:hAnsi="Arial" w:cs="Arial"/>
              </w:rPr>
              <w:t xml:space="preserve"> </w:t>
            </w:r>
            <w:proofErr w:type="spellStart"/>
            <w:r w:rsidRPr="001A0624">
              <w:rPr>
                <w:rFonts w:ascii="Arial" w:hAnsi="Arial" w:cs="Arial"/>
              </w:rPr>
              <w:t>Sabry</w:t>
            </w:r>
            <w:proofErr w:type="spellEnd"/>
            <w:r w:rsidRPr="001A0624">
              <w:rPr>
                <w:rFonts w:ascii="Arial" w:hAnsi="Arial" w:cs="Arial"/>
              </w:rPr>
              <w:t xml:space="preserve"> </w:t>
            </w:r>
            <w:proofErr w:type="spellStart"/>
            <w:r w:rsidRPr="001A0624">
              <w:rPr>
                <w:rFonts w:ascii="Arial" w:hAnsi="Arial" w:cs="Arial"/>
              </w:rPr>
              <w:t>Mansour</w:t>
            </w:r>
            <w:proofErr w:type="spellEnd"/>
          </w:p>
          <w:p w:rsidR="001A0624" w:rsidRDefault="001A0624" w:rsidP="00E02BE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Egyptian Environmental Affairs Agency</w:t>
            </w:r>
          </w:p>
        </w:tc>
      </w:tr>
      <w:tr w:rsidR="00DD297D" w:rsidRPr="00E02BEA" w:rsidTr="000371C9">
        <w:trPr>
          <w:trHeight w:val="1177"/>
        </w:trPr>
        <w:tc>
          <w:tcPr>
            <w:tcW w:w="1478" w:type="dxa"/>
            <w:vMerge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10" w:type="dxa"/>
            <w:tcBorders>
              <w:top w:val="nil"/>
            </w:tcBorders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  <w:u w:val="single"/>
              </w:rPr>
              <w:t>Jordan:</w:t>
            </w:r>
            <w:r w:rsidR="001A0624">
              <w:rPr>
                <w:rFonts w:ascii="Arial" w:hAnsi="Arial" w:cs="Arial"/>
                <w:u w:val="single"/>
              </w:rPr>
              <w:br/>
            </w:r>
            <w:r w:rsidR="00D952BC">
              <w:rPr>
                <w:rFonts w:ascii="Arial" w:hAnsi="Arial" w:cs="Arial"/>
              </w:rPr>
              <w:t>Adaptation Experience in A</w:t>
            </w:r>
            <w:r w:rsidRPr="00E02BEA">
              <w:rPr>
                <w:rFonts w:ascii="Arial" w:hAnsi="Arial" w:cs="Arial"/>
              </w:rPr>
              <w:t>griculture</w:t>
            </w:r>
          </w:p>
        </w:tc>
        <w:tc>
          <w:tcPr>
            <w:tcW w:w="3554" w:type="dxa"/>
            <w:tcBorders>
              <w:top w:val="nil"/>
            </w:tcBorders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Silvia </w:t>
            </w:r>
            <w:proofErr w:type="spellStart"/>
            <w:r>
              <w:rPr>
                <w:rFonts w:ascii="Arial" w:hAnsi="Arial" w:cs="Arial"/>
              </w:rPr>
              <w:t>Donato</w:t>
            </w:r>
            <w:proofErr w:type="spellEnd"/>
            <w:r>
              <w:rPr>
                <w:rFonts w:ascii="Arial" w:hAnsi="Arial" w:cs="Arial"/>
              </w:rPr>
              <w:t xml:space="preserve">, Climate Change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Officer, Environment and Climate Division, </w:t>
            </w:r>
            <w:r w:rsidRPr="00E02BEA">
              <w:rPr>
                <w:rFonts w:ascii="Arial" w:hAnsi="Arial" w:cs="Arial"/>
              </w:rPr>
              <w:t>I</w:t>
            </w:r>
            <w:r w:rsidR="00D952BC">
              <w:rPr>
                <w:rFonts w:ascii="Arial" w:hAnsi="Arial" w:cs="Arial"/>
              </w:rPr>
              <w:t>nternational Fund for Agricultural Development (</w:t>
            </w:r>
            <w:r w:rsidR="001A0624">
              <w:rPr>
                <w:rFonts w:ascii="Arial" w:hAnsi="Arial" w:cs="Arial"/>
              </w:rPr>
              <w:t>I</w:t>
            </w:r>
            <w:r w:rsidRPr="00E02BEA">
              <w:rPr>
                <w:rFonts w:ascii="Arial" w:hAnsi="Arial" w:cs="Arial"/>
              </w:rPr>
              <w:t>FAD</w:t>
            </w:r>
            <w:r w:rsidR="00D952BC">
              <w:rPr>
                <w:rFonts w:ascii="Arial" w:hAnsi="Arial" w:cs="Arial"/>
              </w:rPr>
              <w:t>)</w:t>
            </w:r>
          </w:p>
        </w:tc>
      </w:tr>
      <w:tr w:rsidR="00DD297D" w:rsidRPr="00B80C6C" w:rsidTr="00E02BEA">
        <w:tc>
          <w:tcPr>
            <w:tcW w:w="1478" w:type="dxa"/>
            <w:vMerge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10" w:type="dxa"/>
            <w:tcBorders>
              <w:top w:val="nil"/>
            </w:tcBorders>
          </w:tcPr>
          <w:p w:rsidR="001A0624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  <w:u w:val="single"/>
              </w:rPr>
              <w:t>Mexico:</w:t>
            </w:r>
            <w:r w:rsidRPr="00E02BEA">
              <w:rPr>
                <w:rFonts w:ascii="Arial" w:hAnsi="Arial" w:cs="Arial"/>
              </w:rPr>
              <w:t xml:space="preserve"> </w:t>
            </w:r>
          </w:p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>Sustainable Transport experience</w:t>
            </w:r>
          </w:p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554" w:type="dxa"/>
            <w:tcBorders>
              <w:top w:val="nil"/>
            </w:tcBorders>
          </w:tcPr>
          <w:p w:rsidR="00DD297D" w:rsidRPr="000371C9" w:rsidRDefault="00DD297D" w:rsidP="00E02BEA">
            <w:pPr>
              <w:jc w:val="left"/>
              <w:rPr>
                <w:rFonts w:ascii="Arial" w:hAnsi="Arial" w:cs="Arial"/>
                <w:lang w:val="es-ES"/>
              </w:rPr>
            </w:pPr>
            <w:r w:rsidRPr="000371C9">
              <w:rPr>
                <w:rFonts w:ascii="Arial" w:hAnsi="Arial" w:cs="Arial"/>
                <w:lang w:val="es-ES"/>
              </w:rPr>
              <w:t xml:space="preserve">Mr. Salvador Herrera, </w:t>
            </w:r>
            <w:r w:rsidR="001A0624" w:rsidRPr="001A0624">
              <w:rPr>
                <w:rFonts w:ascii="Arial" w:hAnsi="Arial" w:cs="Arial"/>
              </w:rPr>
              <w:t xml:space="preserve">Centro de </w:t>
            </w:r>
            <w:proofErr w:type="spellStart"/>
            <w:r w:rsidR="001A0624" w:rsidRPr="001A0624">
              <w:rPr>
                <w:rFonts w:ascii="Arial" w:hAnsi="Arial" w:cs="Arial"/>
              </w:rPr>
              <w:t>Transporte</w:t>
            </w:r>
            <w:proofErr w:type="spellEnd"/>
            <w:r w:rsidR="001A0624" w:rsidRPr="001A0624">
              <w:rPr>
                <w:rFonts w:ascii="Arial" w:hAnsi="Arial" w:cs="Arial"/>
              </w:rPr>
              <w:t xml:space="preserve"> </w:t>
            </w:r>
            <w:proofErr w:type="spellStart"/>
            <w:r w:rsidR="001A0624" w:rsidRPr="001A0624">
              <w:rPr>
                <w:rFonts w:ascii="Arial" w:hAnsi="Arial" w:cs="Arial"/>
              </w:rPr>
              <w:t>Sustentable</w:t>
            </w:r>
            <w:proofErr w:type="spellEnd"/>
            <w:r w:rsidR="001A0624" w:rsidRPr="001A0624">
              <w:rPr>
                <w:rFonts w:ascii="Arial" w:hAnsi="Arial" w:cs="Arial"/>
              </w:rPr>
              <w:t xml:space="preserve"> de México</w:t>
            </w:r>
            <w:r w:rsidR="001A0624">
              <w:rPr>
                <w:rFonts w:ascii="Arial" w:hAnsi="Arial" w:cs="Arial"/>
              </w:rPr>
              <w:t xml:space="preserve"> (CTS Mexico)</w:t>
            </w:r>
          </w:p>
        </w:tc>
      </w:tr>
      <w:tr w:rsidR="00DD297D" w:rsidRPr="00E02BEA" w:rsidTr="00E02BEA">
        <w:tc>
          <w:tcPr>
            <w:tcW w:w="1478" w:type="dxa"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>14:20—14:30</w:t>
            </w:r>
          </w:p>
        </w:tc>
        <w:tc>
          <w:tcPr>
            <w:tcW w:w="4210" w:type="dxa"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  <w:b/>
              </w:rPr>
            </w:pPr>
            <w:r w:rsidRPr="00E02BEA">
              <w:rPr>
                <w:rFonts w:ascii="Arial" w:hAnsi="Arial" w:cs="Arial"/>
                <w:b/>
              </w:rPr>
              <w:t>GEF’s Long Term Program on Technology Transfer</w:t>
            </w:r>
          </w:p>
        </w:tc>
        <w:tc>
          <w:tcPr>
            <w:tcW w:w="3554" w:type="dxa"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>Dr. Chizuru Aoki, Senior Technology Transfer Officer, GEF</w:t>
            </w:r>
          </w:p>
        </w:tc>
      </w:tr>
      <w:tr w:rsidR="00DD297D" w:rsidRPr="00E02BEA" w:rsidTr="00E02BEA">
        <w:tc>
          <w:tcPr>
            <w:tcW w:w="1478" w:type="dxa"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>14:30—14:40</w:t>
            </w:r>
          </w:p>
        </w:tc>
        <w:tc>
          <w:tcPr>
            <w:tcW w:w="4210" w:type="dxa"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  <w:b/>
              </w:rPr>
            </w:pPr>
            <w:r w:rsidRPr="00E02BEA">
              <w:rPr>
                <w:rFonts w:ascii="Arial" w:hAnsi="Arial" w:cs="Arial"/>
                <w:b/>
              </w:rPr>
              <w:t>Questions and Answers</w:t>
            </w:r>
          </w:p>
        </w:tc>
        <w:tc>
          <w:tcPr>
            <w:tcW w:w="3554" w:type="dxa"/>
          </w:tcPr>
          <w:p w:rsidR="00DD297D" w:rsidRPr="00E02BEA" w:rsidRDefault="00DD297D" w:rsidP="00E02BEA">
            <w:pPr>
              <w:jc w:val="left"/>
              <w:rPr>
                <w:rFonts w:ascii="Arial" w:hAnsi="Arial" w:cs="Arial"/>
              </w:rPr>
            </w:pPr>
            <w:r w:rsidRPr="00E02BEA">
              <w:rPr>
                <w:rFonts w:ascii="Arial" w:hAnsi="Arial" w:cs="Arial"/>
              </w:rPr>
              <w:t>Dr. Robert Dixon, GEF</w:t>
            </w:r>
          </w:p>
        </w:tc>
      </w:tr>
    </w:tbl>
    <w:p w:rsidR="00DD297D" w:rsidRDefault="00DD297D">
      <w:pPr>
        <w:rPr>
          <w:rFonts w:ascii="Arial" w:hAnsi="Arial" w:cs="Arial"/>
        </w:rPr>
      </w:pPr>
    </w:p>
    <w:p w:rsidR="00DD297D" w:rsidRPr="00EF77F5" w:rsidRDefault="00DD297D">
      <w:pPr>
        <w:rPr>
          <w:rFonts w:ascii="Arial" w:hAnsi="Arial" w:cs="Arial"/>
        </w:rPr>
      </w:pPr>
    </w:p>
    <w:sectPr w:rsidR="00DD297D" w:rsidRPr="00EF77F5" w:rsidSect="00B1346A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62A"/>
    <w:multiLevelType w:val="hybridMultilevel"/>
    <w:tmpl w:val="C0E0F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AF41C4"/>
    <w:multiLevelType w:val="hybridMultilevel"/>
    <w:tmpl w:val="96F8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7F5"/>
    <w:rsid w:val="00016FD0"/>
    <w:rsid w:val="00031B91"/>
    <w:rsid w:val="000371C9"/>
    <w:rsid w:val="00053B32"/>
    <w:rsid w:val="00067EB6"/>
    <w:rsid w:val="0009331F"/>
    <w:rsid w:val="000B0A33"/>
    <w:rsid w:val="000B157B"/>
    <w:rsid w:val="000C2F61"/>
    <w:rsid w:val="000F5D75"/>
    <w:rsid w:val="00102454"/>
    <w:rsid w:val="00105196"/>
    <w:rsid w:val="00121058"/>
    <w:rsid w:val="00142264"/>
    <w:rsid w:val="001562BB"/>
    <w:rsid w:val="001A0624"/>
    <w:rsid w:val="001C46C6"/>
    <w:rsid w:val="001D4E99"/>
    <w:rsid w:val="001F018F"/>
    <w:rsid w:val="001F23F6"/>
    <w:rsid w:val="00207CD1"/>
    <w:rsid w:val="00233000"/>
    <w:rsid w:val="002379B9"/>
    <w:rsid w:val="0024464D"/>
    <w:rsid w:val="0025789E"/>
    <w:rsid w:val="00260447"/>
    <w:rsid w:val="00275977"/>
    <w:rsid w:val="002863BE"/>
    <w:rsid w:val="002A2ED6"/>
    <w:rsid w:val="002B203F"/>
    <w:rsid w:val="00330378"/>
    <w:rsid w:val="00392C89"/>
    <w:rsid w:val="003E1EA5"/>
    <w:rsid w:val="003E72AD"/>
    <w:rsid w:val="003E7D57"/>
    <w:rsid w:val="003F03B8"/>
    <w:rsid w:val="003F6858"/>
    <w:rsid w:val="0040052B"/>
    <w:rsid w:val="00432F07"/>
    <w:rsid w:val="004A049E"/>
    <w:rsid w:val="004A5714"/>
    <w:rsid w:val="004D65CF"/>
    <w:rsid w:val="005028CB"/>
    <w:rsid w:val="00503A09"/>
    <w:rsid w:val="005057CA"/>
    <w:rsid w:val="00551CF2"/>
    <w:rsid w:val="00552C18"/>
    <w:rsid w:val="00576D5B"/>
    <w:rsid w:val="005773FA"/>
    <w:rsid w:val="005D45FF"/>
    <w:rsid w:val="006275F9"/>
    <w:rsid w:val="00643140"/>
    <w:rsid w:val="0068542A"/>
    <w:rsid w:val="00691722"/>
    <w:rsid w:val="006A0521"/>
    <w:rsid w:val="006A2C85"/>
    <w:rsid w:val="006A3F6A"/>
    <w:rsid w:val="006B7F9C"/>
    <w:rsid w:val="006D0675"/>
    <w:rsid w:val="006F4D6A"/>
    <w:rsid w:val="0071311E"/>
    <w:rsid w:val="00746A7B"/>
    <w:rsid w:val="007534D6"/>
    <w:rsid w:val="00777937"/>
    <w:rsid w:val="007A04A8"/>
    <w:rsid w:val="007A6C2D"/>
    <w:rsid w:val="007E2203"/>
    <w:rsid w:val="007E35B6"/>
    <w:rsid w:val="007F6B5B"/>
    <w:rsid w:val="00834392"/>
    <w:rsid w:val="00840A49"/>
    <w:rsid w:val="00847570"/>
    <w:rsid w:val="008762E9"/>
    <w:rsid w:val="00882789"/>
    <w:rsid w:val="008A63D9"/>
    <w:rsid w:val="008D63D3"/>
    <w:rsid w:val="008F564D"/>
    <w:rsid w:val="00910225"/>
    <w:rsid w:val="0091345F"/>
    <w:rsid w:val="00916A3A"/>
    <w:rsid w:val="00945D92"/>
    <w:rsid w:val="0097463F"/>
    <w:rsid w:val="00996966"/>
    <w:rsid w:val="009D2DCB"/>
    <w:rsid w:val="009E2A63"/>
    <w:rsid w:val="00A2146B"/>
    <w:rsid w:val="00A51E1B"/>
    <w:rsid w:val="00A946FE"/>
    <w:rsid w:val="00AB3588"/>
    <w:rsid w:val="00AF238E"/>
    <w:rsid w:val="00B1346A"/>
    <w:rsid w:val="00B15FC4"/>
    <w:rsid w:val="00B60051"/>
    <w:rsid w:val="00B766CB"/>
    <w:rsid w:val="00B80C6C"/>
    <w:rsid w:val="00B82F99"/>
    <w:rsid w:val="00B83D88"/>
    <w:rsid w:val="00B85F75"/>
    <w:rsid w:val="00B94D15"/>
    <w:rsid w:val="00BB7BB7"/>
    <w:rsid w:val="00BF6306"/>
    <w:rsid w:val="00C03A31"/>
    <w:rsid w:val="00C3589F"/>
    <w:rsid w:val="00C639DD"/>
    <w:rsid w:val="00C65294"/>
    <w:rsid w:val="00C66A57"/>
    <w:rsid w:val="00C8024D"/>
    <w:rsid w:val="00C84585"/>
    <w:rsid w:val="00CB0FB2"/>
    <w:rsid w:val="00CD1C4D"/>
    <w:rsid w:val="00D36973"/>
    <w:rsid w:val="00D952BC"/>
    <w:rsid w:val="00DC5441"/>
    <w:rsid w:val="00DD297D"/>
    <w:rsid w:val="00DE0FDF"/>
    <w:rsid w:val="00DF10D9"/>
    <w:rsid w:val="00E02BEA"/>
    <w:rsid w:val="00E72CCE"/>
    <w:rsid w:val="00E9429A"/>
    <w:rsid w:val="00E976EC"/>
    <w:rsid w:val="00EA3E2C"/>
    <w:rsid w:val="00EC0C1F"/>
    <w:rsid w:val="00EC4191"/>
    <w:rsid w:val="00EF163A"/>
    <w:rsid w:val="00EF77F5"/>
    <w:rsid w:val="00F01286"/>
    <w:rsid w:val="00F1197F"/>
    <w:rsid w:val="00F36893"/>
    <w:rsid w:val="00F54EAF"/>
    <w:rsid w:val="00F62979"/>
    <w:rsid w:val="00F765B4"/>
    <w:rsid w:val="00F9779B"/>
    <w:rsid w:val="00FA7D52"/>
    <w:rsid w:val="00FA7E26"/>
    <w:rsid w:val="00FB5E8D"/>
    <w:rsid w:val="00FD4395"/>
    <w:rsid w:val="00F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8F"/>
    <w:pPr>
      <w:widowControl w:val="0"/>
      <w:jc w:val="both"/>
    </w:pPr>
    <w:rPr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7F5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E94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00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287</Words>
  <Characters>1833</Characters>
  <Application>Microsoft Office Word</Application>
  <DocSecurity>0</DocSecurity>
  <Lines>15</Lines>
  <Paragraphs>4</Paragraphs>
  <ScaleCrop>false</ScaleCrop>
  <Company>The World Bank Group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</dc:creator>
  <cp:lastModifiedBy>wb368377</cp:lastModifiedBy>
  <cp:revision>9</cp:revision>
  <cp:lastPrinted>2010-12-02T16:06:00Z</cp:lastPrinted>
  <dcterms:created xsi:type="dcterms:W3CDTF">2010-12-28T15:15:00Z</dcterms:created>
  <dcterms:modified xsi:type="dcterms:W3CDTF">2010-12-28T17:26:00Z</dcterms:modified>
</cp:coreProperties>
</file>