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B7685" w:rsidRPr="008422E1" w:rsidTr="005F4564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85" w:rsidRPr="008422E1" w:rsidRDefault="004B7685" w:rsidP="005F4564">
            <w:pPr>
              <w:spacing w:after="0" w:line="240" w:lineRule="auto"/>
              <w:jc w:val="center"/>
              <w:rPr>
                <w:rFonts w:ascii="Verdana" w:hAnsi="Verdana"/>
                <w:lang w:val="en-GB"/>
              </w:rPr>
            </w:pPr>
            <w:r w:rsidRPr="008422E1">
              <w:rPr>
                <w:rFonts w:ascii="Verdana" w:hAnsi="Verdana"/>
                <w:noProof/>
              </w:rPr>
              <w:drawing>
                <wp:inline distT="0" distB="0" distL="0" distR="0" wp14:anchorId="626BED64" wp14:editId="617EF1F0">
                  <wp:extent cx="1752600" cy="974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85" w:rsidRPr="008422E1" w:rsidRDefault="004B7685" w:rsidP="005F4564">
            <w:pPr>
              <w:spacing w:after="0" w:line="240" w:lineRule="auto"/>
              <w:jc w:val="center"/>
              <w:rPr>
                <w:rFonts w:ascii="Verdana" w:hAnsi="Verdana"/>
                <w:lang w:val="en-GB"/>
              </w:rPr>
            </w:pPr>
            <w:r w:rsidRPr="008422E1">
              <w:rPr>
                <w:rFonts w:ascii="Verdana" w:hAnsi="Verdana"/>
                <w:noProof/>
              </w:rPr>
              <w:drawing>
                <wp:inline distT="0" distB="3810" distL="0" distR="3810" wp14:anchorId="5E147182" wp14:editId="51536297">
                  <wp:extent cx="1234440" cy="1234440"/>
                  <wp:effectExtent l="0" t="0" r="3810" b="3810"/>
                  <wp:docPr id="2" name="Grafik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85" w:rsidRPr="008422E1" w:rsidRDefault="004B7685" w:rsidP="005F4564">
            <w:pPr>
              <w:spacing w:after="0" w:line="240" w:lineRule="auto"/>
              <w:jc w:val="center"/>
              <w:rPr>
                <w:rFonts w:ascii="Verdana" w:hAnsi="Verdana"/>
                <w:lang w:val="en-GB"/>
              </w:rPr>
            </w:pPr>
            <w:r w:rsidRPr="008422E1">
              <w:rPr>
                <w:rFonts w:ascii="Verdana" w:hAnsi="Verdana"/>
                <w:noProof/>
              </w:rPr>
              <w:drawing>
                <wp:inline distT="0" distB="7620" distL="0" distR="0" wp14:anchorId="06FA16F2" wp14:editId="434EFE75">
                  <wp:extent cx="1828800" cy="640080"/>
                  <wp:effectExtent l="0" t="0" r="0" b="7620"/>
                  <wp:docPr id="3" name="Grafik 3" descr="Image result for green economics institu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Image result for green economics institut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97" t="34615" r="3497" b="38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685" w:rsidRPr="008422E1" w:rsidRDefault="004B7685">
      <w:pPr>
        <w:jc w:val="center"/>
        <w:rPr>
          <w:rFonts w:ascii="Verdana" w:hAnsi="Verdana"/>
          <w:shd w:val="clear" w:color="auto" w:fill="FFFFFF"/>
          <w:lang w:val="en-GB"/>
        </w:rPr>
      </w:pPr>
    </w:p>
    <w:p w:rsidR="002C345F" w:rsidRPr="008422E1" w:rsidRDefault="008422E1">
      <w:pPr>
        <w:jc w:val="center"/>
        <w:rPr>
          <w:rFonts w:ascii="Verdana" w:hAnsi="Verdana"/>
          <w:highlight w:val="white"/>
          <w:lang w:val="en-GB"/>
        </w:rPr>
      </w:pPr>
      <w:r w:rsidRPr="008422E1">
        <w:rPr>
          <w:rFonts w:ascii="Verdana" w:hAnsi="Verdana"/>
          <w:shd w:val="clear" w:color="auto" w:fill="FFFFFF"/>
          <w:lang w:val="en-GB"/>
        </w:rPr>
        <w:t xml:space="preserve">Official Side Event to the </w:t>
      </w:r>
    </w:p>
    <w:p w:rsidR="002C345F" w:rsidRPr="008422E1" w:rsidRDefault="008422E1">
      <w:pPr>
        <w:jc w:val="center"/>
        <w:rPr>
          <w:rFonts w:ascii="Verdana" w:hAnsi="Verdana"/>
          <w:b/>
          <w:color w:val="17365D" w:themeColor="text2" w:themeShade="BF"/>
          <w:highlight w:val="white"/>
          <w:lang w:val="en-GB"/>
        </w:rPr>
      </w:pPr>
      <w:r w:rsidRPr="008422E1">
        <w:rPr>
          <w:rFonts w:ascii="Verdana" w:hAnsi="Verdana"/>
          <w:b/>
          <w:color w:val="17365D" w:themeColor="text2" w:themeShade="BF"/>
          <w:shd w:val="clear" w:color="auto" w:fill="FFFFFF"/>
          <w:lang w:val="en-GB"/>
        </w:rPr>
        <w:t>UN Bonn Climate Change Conference June 2019 (SB 50)</w:t>
      </w:r>
    </w:p>
    <w:p w:rsidR="002C345F" w:rsidRPr="008422E1" w:rsidRDefault="008422E1">
      <w:pPr>
        <w:jc w:val="center"/>
        <w:rPr>
          <w:rFonts w:ascii="Verdana" w:hAnsi="Verdana"/>
          <w:highlight w:val="white"/>
          <w:lang w:val="en-GB"/>
        </w:rPr>
      </w:pPr>
      <w:r w:rsidRPr="008422E1">
        <w:rPr>
          <w:rFonts w:ascii="Verdana" w:hAnsi="Verdana"/>
          <w:shd w:val="clear" w:color="auto" w:fill="FFFFFF"/>
          <w:lang w:val="en-GB"/>
        </w:rPr>
        <w:t>Thursday 27 June 2019, 11.30-13.00</w:t>
      </w:r>
    </w:p>
    <w:p w:rsidR="002C345F" w:rsidRPr="008422E1" w:rsidRDefault="008422E1">
      <w:pPr>
        <w:jc w:val="center"/>
        <w:rPr>
          <w:rFonts w:ascii="Verdana" w:hAnsi="Verdana"/>
          <w:highlight w:val="white"/>
          <w:lang w:val="en-GB"/>
        </w:rPr>
      </w:pPr>
      <w:r w:rsidRPr="008422E1">
        <w:rPr>
          <w:rFonts w:ascii="Verdana" w:hAnsi="Verdana"/>
          <w:shd w:val="clear" w:color="auto" w:fill="FFFFFF"/>
          <w:lang w:val="en-GB"/>
        </w:rPr>
        <w:t xml:space="preserve">World Conference </w:t>
      </w:r>
      <w:proofErr w:type="spellStart"/>
      <w:r w:rsidRPr="008422E1">
        <w:rPr>
          <w:rFonts w:ascii="Verdana" w:hAnsi="Verdana"/>
          <w:shd w:val="clear" w:color="auto" w:fill="FFFFFF"/>
          <w:lang w:val="en-GB"/>
        </w:rPr>
        <w:t>Center</w:t>
      </w:r>
      <w:proofErr w:type="spellEnd"/>
      <w:r w:rsidRPr="008422E1">
        <w:rPr>
          <w:rFonts w:ascii="Verdana" w:hAnsi="Verdana"/>
          <w:shd w:val="clear" w:color="auto" w:fill="FFFFFF"/>
          <w:lang w:val="en-GB"/>
        </w:rPr>
        <w:t xml:space="preserve"> Bonn, </w:t>
      </w:r>
      <w:proofErr w:type="spellStart"/>
      <w:r w:rsidRPr="008422E1">
        <w:rPr>
          <w:rFonts w:ascii="Verdana" w:hAnsi="Verdana"/>
          <w:shd w:val="clear" w:color="auto" w:fill="FFFFFF"/>
          <w:lang w:val="en-GB"/>
        </w:rPr>
        <w:t>Kaminzimmer</w:t>
      </w:r>
      <w:proofErr w:type="spellEnd"/>
    </w:p>
    <w:p w:rsidR="002C345F" w:rsidRPr="008422E1" w:rsidRDefault="002C345F">
      <w:pPr>
        <w:jc w:val="center"/>
        <w:rPr>
          <w:rFonts w:ascii="Verdana" w:hAnsi="Verdana"/>
          <w:highlight w:val="white"/>
          <w:lang w:val="en-GB"/>
        </w:rPr>
      </w:pPr>
    </w:p>
    <w:p w:rsidR="002C345F" w:rsidRPr="008422E1" w:rsidRDefault="008422E1">
      <w:pPr>
        <w:jc w:val="center"/>
        <w:rPr>
          <w:rStyle w:val="Fett"/>
          <w:rFonts w:ascii="Verdana" w:hAnsi="Verdana"/>
          <w:sz w:val="32"/>
          <w:szCs w:val="32"/>
          <w:highlight w:val="white"/>
          <w:lang w:val="en-GB"/>
        </w:rPr>
      </w:pPr>
      <w:r w:rsidRPr="008422E1">
        <w:rPr>
          <w:rStyle w:val="Fett"/>
          <w:rFonts w:ascii="Verdana" w:hAnsi="Verdana"/>
          <w:sz w:val="32"/>
          <w:szCs w:val="32"/>
          <w:shd w:val="clear" w:color="auto" w:fill="FFFFFF"/>
          <w:lang w:val="en-GB"/>
        </w:rPr>
        <w:t xml:space="preserve">Getting everyone engaged in climate action </w:t>
      </w:r>
    </w:p>
    <w:p w:rsidR="002C345F" w:rsidRPr="008422E1" w:rsidRDefault="008422E1">
      <w:pPr>
        <w:jc w:val="center"/>
        <w:rPr>
          <w:rStyle w:val="Fett"/>
          <w:rFonts w:ascii="Verdana" w:hAnsi="Verdana"/>
          <w:highlight w:val="white"/>
          <w:lang w:val="en-GB"/>
        </w:rPr>
      </w:pPr>
      <w:r w:rsidRPr="008422E1">
        <w:rPr>
          <w:rStyle w:val="Fett"/>
          <w:rFonts w:ascii="Verdana" w:hAnsi="Verdana"/>
          <w:shd w:val="clear" w:color="auto" w:fill="FFFFFF"/>
          <w:lang w:val="en-GB"/>
        </w:rPr>
        <w:t xml:space="preserve">with culture, social innovation, value change &amp; </w:t>
      </w:r>
      <w:r w:rsidRPr="008422E1">
        <w:rPr>
          <w:rStyle w:val="Fett"/>
          <w:rFonts w:ascii="Verdana" w:hAnsi="Verdana"/>
          <w:shd w:val="clear" w:color="auto" w:fill="FFFFFF"/>
          <w:lang w:val="en-GB"/>
        </w:rPr>
        <w:t>technology</w:t>
      </w:r>
    </w:p>
    <w:p w:rsidR="002C345F" w:rsidRPr="008422E1" w:rsidRDefault="002C345F">
      <w:pPr>
        <w:jc w:val="center"/>
        <w:rPr>
          <w:rStyle w:val="Fett"/>
          <w:rFonts w:ascii="Verdana" w:hAnsi="Verdana"/>
          <w:highlight w:val="white"/>
          <w:lang w:val="en-GB"/>
        </w:rPr>
      </w:pPr>
    </w:p>
    <w:p w:rsidR="002C345F" w:rsidRPr="008422E1" w:rsidRDefault="008422E1">
      <w:pPr>
        <w:jc w:val="center"/>
        <w:rPr>
          <w:rFonts w:ascii="Verdana" w:hAnsi="Verdana"/>
          <w:highlight w:val="white"/>
          <w:lang w:val="en-GB"/>
        </w:rPr>
      </w:pPr>
      <w:r w:rsidRPr="008422E1">
        <w:rPr>
          <w:rFonts w:ascii="Verdana" w:hAnsi="Verdana"/>
          <w:shd w:val="clear" w:color="auto" w:fill="FFFFFF"/>
          <w:lang w:val="en-GB"/>
        </w:rPr>
        <w:t xml:space="preserve">The climate crisis requires a new mindset with everyone taking climate action. Unprecedented youth and civil society engagement </w:t>
      </w:r>
      <w:proofErr w:type="gramStart"/>
      <w:r w:rsidRPr="008422E1">
        <w:rPr>
          <w:rFonts w:ascii="Verdana" w:hAnsi="Verdana"/>
          <w:shd w:val="clear" w:color="auto" w:fill="FFFFFF"/>
          <w:lang w:val="en-GB"/>
        </w:rPr>
        <w:t>is</w:t>
      </w:r>
      <w:proofErr w:type="gramEnd"/>
      <w:r w:rsidRPr="008422E1">
        <w:rPr>
          <w:rFonts w:ascii="Verdana" w:hAnsi="Verdana"/>
          <w:shd w:val="clear" w:color="auto" w:fill="FFFFFF"/>
          <w:lang w:val="en-GB"/>
        </w:rPr>
        <w:t xml:space="preserve"> needed. The side event will gather different stakeholders joining forces on mass mobilization, low carbon lifesty</w:t>
      </w:r>
      <w:r w:rsidRPr="008422E1">
        <w:rPr>
          <w:rFonts w:ascii="Verdana" w:hAnsi="Verdana"/>
          <w:shd w:val="clear" w:color="auto" w:fill="FFFFFF"/>
          <w:lang w:val="en-GB"/>
        </w:rPr>
        <w:t>le promotion and climate action empowerment.</w:t>
      </w:r>
    </w:p>
    <w:p w:rsidR="002C345F" w:rsidRPr="008422E1" w:rsidRDefault="002C345F" w:rsidP="008422E1">
      <w:pPr>
        <w:spacing w:after="0"/>
        <w:jc w:val="center"/>
        <w:rPr>
          <w:rFonts w:ascii="Verdana" w:hAnsi="Verdana"/>
          <w:b/>
          <w:bCs/>
          <w:highlight w:val="white"/>
          <w:lang w:val="en-GB"/>
        </w:rPr>
      </w:pPr>
    </w:p>
    <w:p w:rsidR="002C345F" w:rsidRPr="008422E1" w:rsidRDefault="008422E1">
      <w:pPr>
        <w:jc w:val="center"/>
        <w:rPr>
          <w:rFonts w:ascii="Verdana" w:hAnsi="Verdana"/>
          <w:highlight w:val="white"/>
          <w:lang w:val="en-GB"/>
        </w:rPr>
      </w:pPr>
      <w:r w:rsidRPr="008422E1">
        <w:rPr>
          <w:rFonts w:ascii="Verdana" w:hAnsi="Verdana"/>
          <w:b/>
          <w:bCs/>
          <w:shd w:val="clear" w:color="auto" w:fill="FFFFFF"/>
          <w:lang w:val="en-GB"/>
        </w:rPr>
        <w:t>Speakers:</w:t>
      </w:r>
    </w:p>
    <w:p w:rsidR="002C345F" w:rsidRPr="008422E1" w:rsidRDefault="008422E1" w:rsidP="008422E1">
      <w:pPr>
        <w:pStyle w:val="Listenabsatz"/>
        <w:numPr>
          <w:ilvl w:val="0"/>
          <w:numId w:val="1"/>
        </w:numPr>
        <w:tabs>
          <w:tab w:val="left" w:pos="450"/>
        </w:tabs>
        <w:ind w:left="450"/>
        <w:rPr>
          <w:rFonts w:ascii="Verdana" w:hAnsi="Verdana"/>
          <w:highlight w:val="white"/>
          <w:lang w:val="en-US"/>
        </w:rPr>
      </w:pPr>
      <w:r w:rsidRPr="008422E1">
        <w:rPr>
          <w:rFonts w:ascii="Verdana" w:hAnsi="Verdana"/>
          <w:shd w:val="clear" w:color="auto" w:fill="FFFFFF"/>
          <w:lang w:val="en-US"/>
        </w:rPr>
        <w:t xml:space="preserve">Miroslav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Polzer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, IAAI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GloCha</w:t>
      </w:r>
      <w:proofErr w:type="spellEnd"/>
    </w:p>
    <w:p w:rsidR="002C345F" w:rsidRPr="008422E1" w:rsidRDefault="008422E1" w:rsidP="008422E1">
      <w:pPr>
        <w:pStyle w:val="Listenabsatz"/>
        <w:numPr>
          <w:ilvl w:val="0"/>
          <w:numId w:val="1"/>
        </w:numPr>
        <w:tabs>
          <w:tab w:val="left" w:pos="450"/>
        </w:tabs>
        <w:ind w:left="450"/>
        <w:rPr>
          <w:rFonts w:ascii="Verdana" w:hAnsi="Verdana"/>
          <w:highlight w:val="white"/>
          <w:lang w:val="en-US"/>
        </w:rPr>
      </w:pPr>
      <w:r w:rsidRPr="008422E1">
        <w:rPr>
          <w:rFonts w:ascii="Verdana" w:hAnsi="Verdana"/>
          <w:shd w:val="clear" w:color="auto" w:fill="FFFFFF"/>
          <w:lang w:val="en-US"/>
        </w:rPr>
        <w:t xml:space="preserve">Jerrica Rai Whitlock &amp;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Saffran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Mihnar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ActionNow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 Campaign</w:t>
      </w:r>
    </w:p>
    <w:p w:rsidR="002C345F" w:rsidRPr="008422E1" w:rsidRDefault="008422E1" w:rsidP="008422E1">
      <w:pPr>
        <w:pStyle w:val="Listenabsatz"/>
        <w:numPr>
          <w:ilvl w:val="0"/>
          <w:numId w:val="1"/>
        </w:numPr>
        <w:tabs>
          <w:tab w:val="left" w:pos="450"/>
        </w:tabs>
        <w:ind w:left="450" w:right="-648"/>
        <w:rPr>
          <w:rFonts w:ascii="Verdana" w:hAnsi="Verdana"/>
          <w:highlight w:val="white"/>
          <w:lang w:val="en-US"/>
        </w:rPr>
      </w:pPr>
      <w:r w:rsidRPr="008422E1">
        <w:rPr>
          <w:rFonts w:ascii="Verdana" w:hAnsi="Verdana"/>
          <w:shd w:val="clear" w:color="auto" w:fill="FFFFFF"/>
          <w:lang w:val="en-US"/>
        </w:rPr>
        <w:t xml:space="preserve">Timothy Damon, Education,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Communiction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 &amp; Outreach Stakeholders Community (ECOS)</w:t>
      </w:r>
    </w:p>
    <w:p w:rsidR="008422E1" w:rsidRPr="008422E1" w:rsidRDefault="008422E1" w:rsidP="008422E1">
      <w:pPr>
        <w:pStyle w:val="Listenabsatz"/>
        <w:numPr>
          <w:ilvl w:val="0"/>
          <w:numId w:val="1"/>
        </w:numPr>
        <w:tabs>
          <w:tab w:val="left" w:pos="450"/>
        </w:tabs>
        <w:ind w:left="450"/>
        <w:rPr>
          <w:rFonts w:ascii="Verdana" w:hAnsi="Verdana"/>
          <w:color w:val="222222"/>
          <w:highlight w:val="white"/>
        </w:rPr>
      </w:pPr>
      <w:proofErr w:type="spellStart"/>
      <w:r w:rsidRPr="008422E1">
        <w:rPr>
          <w:rFonts w:ascii="Verdana" w:hAnsi="Verdana"/>
          <w:shd w:val="clear" w:color="auto" w:fill="FFFFFF"/>
          <w:lang w:val="en-US"/>
        </w:rPr>
        <w:t>Golo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Pilz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>, a</w:t>
      </w:r>
      <w:proofErr w:type="spellStart"/>
      <w:r w:rsidRPr="008422E1">
        <w:rPr>
          <w:rFonts w:ascii="Verdana" w:hAnsi="Verdana"/>
          <w:shd w:val="clear" w:color="auto" w:fill="FFFFFF"/>
          <w:lang w:val="en-GB"/>
        </w:rPr>
        <w:t>dvisor</w:t>
      </w:r>
      <w:proofErr w:type="spellEnd"/>
      <w:r w:rsidRPr="008422E1">
        <w:rPr>
          <w:rFonts w:ascii="Verdana" w:hAnsi="Verdana"/>
          <w:shd w:val="clear" w:color="auto" w:fill="FFFFFF"/>
          <w:lang w:val="en-GB"/>
        </w:rPr>
        <w:t xml:space="preserve"> to Brahma </w:t>
      </w:r>
      <w:proofErr w:type="spellStart"/>
      <w:r w:rsidRPr="008422E1">
        <w:rPr>
          <w:rFonts w:ascii="Verdana" w:hAnsi="Verdana"/>
          <w:shd w:val="clear" w:color="auto" w:fill="FFFFFF"/>
          <w:lang w:val="en-GB"/>
        </w:rPr>
        <w:t>Kumaris</w:t>
      </w:r>
      <w:proofErr w:type="spellEnd"/>
      <w:r w:rsidRPr="008422E1">
        <w:rPr>
          <w:rFonts w:ascii="Verdana" w:hAnsi="Verdana"/>
          <w:shd w:val="clear" w:color="auto" w:fill="FFFFFF"/>
          <w:lang w:val="en-GB"/>
        </w:rPr>
        <w:t xml:space="preserve"> on Renewable Energy and the Head of India-One Solar project</w:t>
      </w:r>
    </w:p>
    <w:p w:rsidR="002C345F" w:rsidRPr="008422E1" w:rsidRDefault="008422E1" w:rsidP="008422E1">
      <w:pPr>
        <w:pStyle w:val="Listenabsatz"/>
        <w:numPr>
          <w:ilvl w:val="0"/>
          <w:numId w:val="1"/>
        </w:numPr>
        <w:tabs>
          <w:tab w:val="left" w:pos="450"/>
        </w:tabs>
        <w:ind w:left="450"/>
        <w:rPr>
          <w:rFonts w:ascii="Verdana" w:hAnsi="Verdana"/>
          <w:color w:val="222222"/>
          <w:highlight w:val="white"/>
        </w:rPr>
      </w:pPr>
      <w:r w:rsidRPr="008422E1">
        <w:rPr>
          <w:rFonts w:ascii="Verdana" w:hAnsi="Verdana"/>
          <w:i/>
          <w:color w:val="222222"/>
          <w:shd w:val="clear" w:color="auto" w:fill="FFFFFF"/>
          <w:lang w:val="en-GB"/>
        </w:rPr>
        <w:t xml:space="preserve">Dorothy </w:t>
      </w:r>
      <w:proofErr w:type="spellStart"/>
      <w:r w:rsidRPr="008422E1">
        <w:rPr>
          <w:rFonts w:ascii="Verdana" w:hAnsi="Verdana"/>
          <w:i/>
          <w:color w:val="222222"/>
          <w:shd w:val="clear" w:color="auto" w:fill="FFFFFF"/>
          <w:lang w:val="en-GB"/>
        </w:rPr>
        <w:t>Nalubega</w:t>
      </w:r>
      <w:proofErr w:type="spellEnd"/>
      <w:r w:rsidRPr="008422E1">
        <w:rPr>
          <w:rFonts w:ascii="Verdana" w:hAnsi="Verdana"/>
          <w:i/>
          <w:color w:val="222222"/>
          <w:shd w:val="clear" w:color="auto" w:fill="FFFFFF"/>
          <w:lang w:val="en-GB"/>
        </w:rPr>
        <w:t xml:space="preserve"> (Green Economics Institute Uganda)</w:t>
      </w:r>
    </w:p>
    <w:p w:rsidR="002C345F" w:rsidRPr="008422E1" w:rsidRDefault="008422E1" w:rsidP="008422E1">
      <w:pPr>
        <w:pStyle w:val="Listenabsatz"/>
        <w:numPr>
          <w:ilvl w:val="0"/>
          <w:numId w:val="1"/>
        </w:numPr>
        <w:tabs>
          <w:tab w:val="left" w:pos="450"/>
        </w:tabs>
        <w:ind w:left="450"/>
        <w:rPr>
          <w:rFonts w:ascii="Verdana" w:hAnsi="Verdana"/>
          <w:shd w:val="clear" w:color="auto" w:fill="FFFFFF"/>
          <w:lang w:val="en-US"/>
        </w:rPr>
      </w:pPr>
      <w:r w:rsidRPr="008422E1">
        <w:rPr>
          <w:rFonts w:ascii="Verdana" w:hAnsi="Verdana"/>
          <w:shd w:val="clear" w:color="auto" w:fill="FFFFFF"/>
          <w:lang w:val="en-US"/>
        </w:rPr>
        <w:t xml:space="preserve">Miriam Kennet, Green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Economics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 Institute </w:t>
      </w:r>
      <w:r w:rsidRPr="008422E1">
        <w:rPr>
          <w:rFonts w:ascii="Verdana" w:hAnsi="Verdana"/>
          <w:shd w:val="clear" w:color="auto" w:fill="FFFFFF"/>
          <w:lang w:val="en-US"/>
        </w:rPr>
        <w:t>(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video</w:t>
      </w:r>
      <w:proofErr w:type="spellEnd"/>
      <w:r w:rsidRPr="008422E1">
        <w:rPr>
          <w:rFonts w:ascii="Verdana" w:hAnsi="Verdana"/>
          <w:shd w:val="clear" w:color="auto" w:fill="FFFFFF"/>
          <w:lang w:val="en-US"/>
        </w:rPr>
        <w:t xml:space="preserve"> message) and GEI </w:t>
      </w:r>
      <w:proofErr w:type="spellStart"/>
      <w:r w:rsidRPr="008422E1">
        <w:rPr>
          <w:rFonts w:ascii="Verdana" w:hAnsi="Verdana"/>
          <w:shd w:val="clear" w:color="auto" w:fill="FFFFFF"/>
          <w:lang w:val="en-US"/>
        </w:rPr>
        <w:t>Climate</w:t>
      </w:r>
      <w:proofErr w:type="spellEnd"/>
    </w:p>
    <w:p w:rsidR="004B7685" w:rsidRPr="008422E1" w:rsidRDefault="004B7685">
      <w:pPr>
        <w:jc w:val="center"/>
        <w:rPr>
          <w:rFonts w:ascii="Verdana" w:hAnsi="Verdana"/>
          <w:b/>
          <w:bCs/>
          <w:i/>
          <w:shd w:val="clear" w:color="auto" w:fill="FFFFFF"/>
          <w:lang w:val="en-GB"/>
        </w:rPr>
      </w:pPr>
    </w:p>
    <w:p w:rsidR="002C345F" w:rsidRPr="008422E1" w:rsidRDefault="008422E1">
      <w:pPr>
        <w:jc w:val="center"/>
        <w:rPr>
          <w:rFonts w:ascii="Verdana" w:hAnsi="Verdana"/>
          <w:b/>
          <w:bCs/>
        </w:rPr>
      </w:pPr>
      <w:r w:rsidRPr="008422E1">
        <w:rPr>
          <w:rFonts w:ascii="Verdana" w:hAnsi="Verdana"/>
          <w:b/>
          <w:bCs/>
          <w:i/>
          <w:shd w:val="clear" w:color="auto" w:fill="FFFFFF"/>
          <w:lang w:val="en-GB"/>
        </w:rPr>
        <w:t>Moderation:</w:t>
      </w:r>
    </w:p>
    <w:p w:rsidR="002C345F" w:rsidRPr="008422E1" w:rsidRDefault="008422E1" w:rsidP="004B7685">
      <w:pPr>
        <w:jc w:val="center"/>
        <w:rPr>
          <w:rFonts w:ascii="Verdana" w:hAnsi="Verdana"/>
          <w:i/>
          <w:shd w:val="clear" w:color="auto" w:fill="FFFFFF"/>
          <w:lang w:val="en-GB"/>
        </w:rPr>
      </w:pPr>
      <w:proofErr w:type="spellStart"/>
      <w:r w:rsidRPr="008422E1">
        <w:rPr>
          <w:rFonts w:ascii="Verdana" w:hAnsi="Verdana"/>
          <w:i/>
          <w:shd w:val="clear" w:color="auto" w:fill="FFFFFF"/>
          <w:lang w:val="en-GB"/>
        </w:rPr>
        <w:t>Carolin</w:t>
      </w:r>
      <w:proofErr w:type="spellEnd"/>
      <w:r w:rsidRPr="008422E1">
        <w:rPr>
          <w:rFonts w:ascii="Verdana" w:hAnsi="Verdana"/>
          <w:i/>
          <w:shd w:val="clear" w:color="auto" w:fill="FFFFFF"/>
          <w:lang w:val="en-GB"/>
        </w:rPr>
        <w:t xml:space="preserve"> </w:t>
      </w:r>
      <w:proofErr w:type="spellStart"/>
      <w:r w:rsidRPr="008422E1">
        <w:rPr>
          <w:rFonts w:ascii="Verdana" w:hAnsi="Verdana"/>
          <w:i/>
          <w:shd w:val="clear" w:color="auto" w:fill="FFFFFF"/>
          <w:lang w:val="en-GB"/>
        </w:rPr>
        <w:t>Fraude</w:t>
      </w:r>
      <w:proofErr w:type="spellEnd"/>
      <w:r w:rsidRPr="008422E1">
        <w:rPr>
          <w:rFonts w:ascii="Verdana" w:hAnsi="Verdana"/>
          <w:i/>
          <w:shd w:val="clear" w:color="auto" w:fill="FFFFFF"/>
          <w:lang w:val="en-GB"/>
        </w:rPr>
        <w:t>, Institute for Ad</w:t>
      </w:r>
      <w:r w:rsidRPr="008422E1">
        <w:rPr>
          <w:rFonts w:ascii="Verdana" w:hAnsi="Verdana"/>
          <w:i/>
          <w:shd w:val="clear" w:color="auto" w:fill="FFFFFF"/>
          <w:lang w:val="en-GB"/>
        </w:rPr>
        <w:t xml:space="preserve">vanced Sustainability Studies </w:t>
      </w:r>
      <w:proofErr w:type="spellStart"/>
      <w:r w:rsidRPr="008422E1">
        <w:rPr>
          <w:rFonts w:ascii="Verdana" w:hAnsi="Verdana"/>
          <w:i/>
          <w:shd w:val="clear" w:color="auto" w:fill="FFFFFF"/>
          <w:lang w:val="en-GB"/>
        </w:rPr>
        <w:t>e.V</w:t>
      </w:r>
      <w:proofErr w:type="spellEnd"/>
      <w:r w:rsidRPr="008422E1">
        <w:rPr>
          <w:rFonts w:ascii="Verdana" w:hAnsi="Verdana"/>
          <w:i/>
          <w:shd w:val="clear" w:color="auto" w:fill="FFFFFF"/>
          <w:lang w:val="en-GB"/>
        </w:rPr>
        <w:t>. (IASS)</w:t>
      </w:r>
    </w:p>
    <w:p w:rsidR="008422E1" w:rsidRPr="008422E1" w:rsidRDefault="008422E1" w:rsidP="004B7685">
      <w:pPr>
        <w:jc w:val="center"/>
        <w:rPr>
          <w:rFonts w:ascii="Verdana" w:hAnsi="Verdana"/>
          <w:b/>
          <w:bCs/>
          <w:i/>
          <w:shd w:val="clear" w:color="auto" w:fill="FFFFFF"/>
          <w:lang w:val="en-GB"/>
        </w:rPr>
      </w:pPr>
    </w:p>
    <w:p w:rsidR="008422E1" w:rsidRPr="008422E1" w:rsidRDefault="008422E1" w:rsidP="004B7685">
      <w:pPr>
        <w:jc w:val="center"/>
        <w:rPr>
          <w:rFonts w:ascii="Verdana" w:hAnsi="Verdana"/>
          <w:b/>
          <w:bCs/>
          <w:i/>
          <w:shd w:val="clear" w:color="auto" w:fill="FFFFFF"/>
          <w:lang w:val="en-GB"/>
        </w:rPr>
      </w:pPr>
      <w:proofErr w:type="gramStart"/>
      <w:r w:rsidRPr="008422E1">
        <w:rPr>
          <w:rFonts w:ascii="Verdana" w:hAnsi="Verdana"/>
          <w:b/>
          <w:bCs/>
          <w:i/>
          <w:shd w:val="clear" w:color="auto" w:fill="FFFFFF"/>
          <w:lang w:val="en-GB"/>
        </w:rPr>
        <w:t>Contact :</w:t>
      </w:r>
      <w:proofErr w:type="gramEnd"/>
    </w:p>
    <w:p w:rsidR="008422E1" w:rsidRPr="008422E1" w:rsidRDefault="008422E1" w:rsidP="004B7685">
      <w:pPr>
        <w:jc w:val="center"/>
        <w:rPr>
          <w:rFonts w:ascii="Verdana" w:hAnsi="Verdana"/>
        </w:rPr>
      </w:pPr>
      <w:r w:rsidRPr="008422E1">
        <w:rPr>
          <w:rFonts w:ascii="Verdana" w:hAnsi="Verdana"/>
        </w:rPr>
        <w:t xml:space="preserve">Miroslav </w:t>
      </w:r>
      <w:proofErr w:type="spellStart"/>
      <w:r w:rsidRPr="008422E1">
        <w:rPr>
          <w:rFonts w:ascii="Verdana" w:hAnsi="Verdana"/>
        </w:rPr>
        <w:t>Polzer</w:t>
      </w:r>
      <w:proofErr w:type="spellEnd"/>
      <w:r w:rsidRPr="008422E1">
        <w:rPr>
          <w:rFonts w:ascii="Verdana" w:hAnsi="Verdana"/>
        </w:rPr>
        <w:t>,</w:t>
      </w:r>
      <w:r>
        <w:rPr>
          <w:rFonts w:ascii="Verdana" w:hAnsi="Verdana"/>
        </w:rPr>
        <w:t xml:space="preserve"> IAAI,</w:t>
      </w:r>
      <w:bookmarkStart w:id="0" w:name="_GoBack"/>
      <w:bookmarkEnd w:id="0"/>
      <w:r w:rsidRPr="008422E1">
        <w:rPr>
          <w:rFonts w:ascii="Verdana" w:hAnsi="Verdana"/>
        </w:rPr>
        <w:t xml:space="preserve"> </w:t>
      </w:r>
      <w:hyperlink r:id="rId10" w:history="1">
        <w:r w:rsidRPr="008422E1">
          <w:rPr>
            <w:rStyle w:val="Hyperlink"/>
            <w:rFonts w:ascii="Verdana" w:hAnsi="Verdana"/>
          </w:rPr>
          <w:t>polzer@glocha.info</w:t>
        </w:r>
      </w:hyperlink>
      <w:r w:rsidRPr="008422E1">
        <w:rPr>
          <w:rFonts w:ascii="Verdana" w:hAnsi="Verdana"/>
        </w:rPr>
        <w:t>, +436644203648</w:t>
      </w:r>
    </w:p>
    <w:sectPr w:rsidR="008422E1" w:rsidRPr="008422E1" w:rsidSect="008422E1">
      <w:pgSz w:w="11906" w:h="16838"/>
      <w:pgMar w:top="1417" w:right="1417" w:bottom="90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3FAC"/>
    <w:multiLevelType w:val="hybridMultilevel"/>
    <w:tmpl w:val="DB18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F"/>
    <w:rsid w:val="002C345F"/>
    <w:rsid w:val="004B7685"/>
    <w:rsid w:val="008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34CC"/>
  <w15:docId w15:val="{83A9E0A9-3857-401A-98E5-A6BD89FE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F5604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0007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000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31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2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22E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economicsinstitutetru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cha.inf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lzer@glocha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BKgeneva</dc:creator>
  <dc:description/>
  <cp:lastModifiedBy>StudentIn</cp:lastModifiedBy>
  <cp:revision>2</cp:revision>
  <dcterms:created xsi:type="dcterms:W3CDTF">2019-06-17T09:13:00Z</dcterms:created>
  <dcterms:modified xsi:type="dcterms:W3CDTF">2019-06-17T09:13:00Z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