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46" w:rsidRPr="00D14281" w:rsidRDefault="00BC5C97" w:rsidP="00787E29">
      <w:pPr>
        <w:jc w:val="center"/>
        <w:rPr>
          <w:b/>
          <w:bCs/>
          <w:lang w:val="en-GB"/>
        </w:rPr>
      </w:pPr>
      <w:r>
        <w:rPr>
          <w:b/>
          <w:bCs/>
          <w:lang w:val="en-GB"/>
        </w:rPr>
        <w:t xml:space="preserve">Tianjin </w:t>
      </w:r>
      <w:r w:rsidR="006C6A46" w:rsidRPr="00D14281">
        <w:rPr>
          <w:b/>
          <w:bCs/>
          <w:lang w:val="en-GB"/>
        </w:rPr>
        <w:t>Climate Change Talks (0</w:t>
      </w:r>
      <w:r>
        <w:rPr>
          <w:b/>
          <w:bCs/>
          <w:lang w:val="en-GB"/>
        </w:rPr>
        <w:t>4</w:t>
      </w:r>
      <w:r w:rsidR="006C6A46" w:rsidRPr="00D14281">
        <w:rPr>
          <w:b/>
          <w:bCs/>
          <w:lang w:val="en-GB"/>
        </w:rPr>
        <w:t>-</w:t>
      </w:r>
      <w:r w:rsidR="002B6A95">
        <w:rPr>
          <w:b/>
          <w:bCs/>
          <w:lang w:val="en-GB"/>
        </w:rPr>
        <w:t>0</w:t>
      </w:r>
      <w:r>
        <w:rPr>
          <w:b/>
          <w:bCs/>
          <w:lang w:val="en-GB"/>
        </w:rPr>
        <w:t>9</w:t>
      </w:r>
      <w:r w:rsidR="006C6A46" w:rsidRPr="00D14281">
        <w:rPr>
          <w:b/>
          <w:bCs/>
          <w:lang w:val="en-GB"/>
        </w:rPr>
        <w:t xml:space="preserve"> </w:t>
      </w:r>
      <w:r>
        <w:rPr>
          <w:b/>
          <w:bCs/>
          <w:lang w:val="en-GB"/>
        </w:rPr>
        <w:t xml:space="preserve">October </w:t>
      </w:r>
      <w:r w:rsidR="006C6A46" w:rsidRPr="00D14281">
        <w:rPr>
          <w:b/>
          <w:bCs/>
          <w:lang w:val="en-GB"/>
        </w:rPr>
        <w:t>20</w:t>
      </w:r>
      <w:r w:rsidR="002B6A95">
        <w:rPr>
          <w:b/>
          <w:bCs/>
          <w:lang w:val="en-GB"/>
        </w:rPr>
        <w:t>1</w:t>
      </w:r>
      <w:r w:rsidR="006C6A46" w:rsidRPr="00D14281">
        <w:rPr>
          <w:b/>
          <w:bCs/>
          <w:lang w:val="en-GB"/>
        </w:rPr>
        <w:t>0)</w:t>
      </w:r>
    </w:p>
    <w:p w:rsidR="000E1E23" w:rsidRDefault="00EA1F2E" w:rsidP="00787E29">
      <w:pPr>
        <w:jc w:val="center"/>
        <w:rPr>
          <w:b/>
          <w:bCs/>
          <w:lang w:val="en-GB"/>
        </w:rPr>
      </w:pPr>
      <w:r>
        <w:rPr>
          <w:b/>
          <w:bCs/>
          <w:lang w:val="en-GB"/>
        </w:rPr>
        <w:t>UNU</w:t>
      </w:r>
      <w:r w:rsidR="00787E29" w:rsidRPr="00D14281">
        <w:rPr>
          <w:b/>
          <w:bCs/>
          <w:lang w:val="en-GB"/>
        </w:rPr>
        <w:t xml:space="preserve"> side event</w:t>
      </w:r>
      <w:r w:rsidR="006C6A46" w:rsidRPr="00D14281">
        <w:rPr>
          <w:b/>
          <w:bCs/>
          <w:lang w:val="en-GB"/>
        </w:rPr>
        <w:t>:</w:t>
      </w:r>
    </w:p>
    <w:p w:rsidR="00477565" w:rsidRPr="00D14281" w:rsidRDefault="00477565" w:rsidP="00787E29">
      <w:pPr>
        <w:jc w:val="center"/>
        <w:rPr>
          <w:b/>
          <w:bCs/>
          <w:lang w:val="en-GB"/>
        </w:rPr>
      </w:pPr>
    </w:p>
    <w:p w:rsidR="00EA1F2E" w:rsidRPr="00EA1F2E" w:rsidRDefault="00EA1F2E" w:rsidP="00EA1F2E">
      <w:pPr>
        <w:jc w:val="center"/>
        <w:rPr>
          <w:b/>
          <w:bCs/>
          <w:sz w:val="28"/>
          <w:szCs w:val="28"/>
          <w:lang w:val="en-GB"/>
        </w:rPr>
      </w:pPr>
      <w:r w:rsidRPr="00EA1F2E">
        <w:rPr>
          <w:b/>
          <w:bCs/>
          <w:sz w:val="28"/>
          <w:szCs w:val="28"/>
          <w:lang w:val="en-GB"/>
        </w:rPr>
        <w:t>Migration &amp; Displacement: Policy Gaps &amp; Options for Adaptation</w:t>
      </w:r>
    </w:p>
    <w:p w:rsidR="00EA1F2E" w:rsidRDefault="00EA1F2E" w:rsidP="00EA1F2E">
      <w:pPr>
        <w:rPr>
          <w:rFonts w:cs="Arial"/>
          <w:sz w:val="20"/>
          <w:szCs w:val="20"/>
          <w:lang w:val="en-US"/>
        </w:rPr>
      </w:pPr>
    </w:p>
    <w:p w:rsidR="00AC04B7" w:rsidRPr="00EA1F2E" w:rsidRDefault="00AC04B7" w:rsidP="00EA1F2E">
      <w:pPr>
        <w:rPr>
          <w:rFonts w:cs="Arial"/>
          <w:sz w:val="20"/>
          <w:szCs w:val="20"/>
          <w:lang w:val="en-US"/>
        </w:rPr>
      </w:pPr>
    </w:p>
    <w:p w:rsidR="008934F1" w:rsidRDefault="00BC5C97" w:rsidP="000C3200">
      <w:pPr>
        <w:ind w:left="1418" w:hanging="1418"/>
        <w:rPr>
          <w:sz w:val="20"/>
          <w:szCs w:val="20"/>
          <w:lang w:val="en-US"/>
        </w:rPr>
      </w:pPr>
      <w:r>
        <w:rPr>
          <w:sz w:val="20"/>
          <w:szCs w:val="20"/>
          <w:lang w:val="en-US"/>
        </w:rPr>
        <w:t>S</w:t>
      </w:r>
      <w:r w:rsidR="005277D9" w:rsidRPr="00D14281">
        <w:rPr>
          <w:sz w:val="20"/>
          <w:szCs w:val="20"/>
          <w:lang w:val="en-US"/>
        </w:rPr>
        <w:t>peakers:</w:t>
      </w:r>
      <w:r>
        <w:rPr>
          <w:sz w:val="20"/>
          <w:szCs w:val="20"/>
          <w:lang w:val="en-US"/>
        </w:rPr>
        <w:tab/>
      </w:r>
      <w:r w:rsidR="00F467C7">
        <w:rPr>
          <w:sz w:val="20"/>
          <w:szCs w:val="20"/>
          <w:lang w:val="en-US"/>
        </w:rPr>
        <w:t xml:space="preserve">Invited delegates from the </w:t>
      </w:r>
      <w:r w:rsidR="001D3837">
        <w:rPr>
          <w:sz w:val="20"/>
          <w:szCs w:val="20"/>
          <w:lang w:val="en-US"/>
        </w:rPr>
        <w:t>Senegal, Mexico</w:t>
      </w:r>
      <w:r w:rsidR="00694EC7">
        <w:rPr>
          <w:sz w:val="20"/>
          <w:szCs w:val="20"/>
          <w:lang w:val="en-US"/>
        </w:rPr>
        <w:t xml:space="preserve"> and</w:t>
      </w:r>
      <w:r w:rsidR="00F467C7">
        <w:rPr>
          <w:sz w:val="20"/>
          <w:szCs w:val="20"/>
          <w:lang w:val="en-US"/>
        </w:rPr>
        <w:t xml:space="preserve"> </w:t>
      </w:r>
      <w:r w:rsidR="001D3837">
        <w:rPr>
          <w:sz w:val="20"/>
          <w:szCs w:val="20"/>
          <w:lang w:val="en-US"/>
        </w:rPr>
        <w:t>Bangladesh</w:t>
      </w:r>
      <w:r w:rsidR="00F467C7">
        <w:rPr>
          <w:sz w:val="20"/>
          <w:szCs w:val="20"/>
          <w:lang w:val="en-US"/>
        </w:rPr>
        <w:t xml:space="preserve">, </w:t>
      </w:r>
      <w:r w:rsidR="00694EC7">
        <w:rPr>
          <w:sz w:val="20"/>
          <w:szCs w:val="20"/>
          <w:lang w:val="en-US"/>
        </w:rPr>
        <w:t>with further invited delegate comments from the floor</w:t>
      </w:r>
    </w:p>
    <w:p w:rsidR="001D3837" w:rsidRDefault="001D3837" w:rsidP="000C3200">
      <w:pPr>
        <w:ind w:left="1418" w:hanging="1418"/>
        <w:rPr>
          <w:sz w:val="20"/>
          <w:szCs w:val="20"/>
          <w:lang w:val="en-US"/>
        </w:rPr>
      </w:pPr>
    </w:p>
    <w:p w:rsidR="00677522" w:rsidRDefault="00F467C7" w:rsidP="008934F1">
      <w:pPr>
        <w:ind w:left="1418"/>
        <w:rPr>
          <w:sz w:val="20"/>
          <w:szCs w:val="20"/>
          <w:lang w:val="en-US"/>
        </w:rPr>
      </w:pPr>
      <w:r>
        <w:rPr>
          <w:sz w:val="20"/>
          <w:szCs w:val="20"/>
          <w:lang w:val="en-US"/>
        </w:rPr>
        <w:t>Invited e</w:t>
      </w:r>
      <w:r w:rsidR="00677522">
        <w:rPr>
          <w:sz w:val="20"/>
          <w:szCs w:val="20"/>
          <w:lang w:val="en-US"/>
        </w:rPr>
        <w:t xml:space="preserve">xperts: </w:t>
      </w:r>
      <w:r w:rsidR="001D3837">
        <w:rPr>
          <w:sz w:val="20"/>
          <w:szCs w:val="20"/>
          <w:lang w:val="en-US"/>
        </w:rPr>
        <w:t>UNU</w:t>
      </w:r>
      <w:r>
        <w:rPr>
          <w:sz w:val="20"/>
          <w:szCs w:val="20"/>
          <w:lang w:val="en-US"/>
        </w:rPr>
        <w:t xml:space="preserve"> (Koko Warner)</w:t>
      </w:r>
      <w:r w:rsidR="00677522">
        <w:rPr>
          <w:sz w:val="20"/>
          <w:szCs w:val="20"/>
          <w:lang w:val="en-US"/>
        </w:rPr>
        <w:t xml:space="preserve">, </w:t>
      </w:r>
      <w:proofErr w:type="spellStart"/>
      <w:r w:rsidR="001748B0">
        <w:rPr>
          <w:sz w:val="20"/>
          <w:szCs w:val="20"/>
          <w:lang w:val="en-US"/>
        </w:rPr>
        <w:t>Germanwatch</w:t>
      </w:r>
      <w:proofErr w:type="spellEnd"/>
      <w:r w:rsidR="001748B0">
        <w:rPr>
          <w:sz w:val="20"/>
          <w:szCs w:val="20"/>
          <w:lang w:val="en-US"/>
        </w:rPr>
        <w:t xml:space="preserve"> (Sven </w:t>
      </w:r>
      <w:proofErr w:type="spellStart"/>
      <w:r w:rsidR="001748B0">
        <w:rPr>
          <w:sz w:val="20"/>
          <w:szCs w:val="20"/>
          <w:lang w:val="en-US"/>
        </w:rPr>
        <w:t>Harmeling</w:t>
      </w:r>
      <w:proofErr w:type="spellEnd"/>
      <w:r w:rsidR="001748B0">
        <w:rPr>
          <w:sz w:val="20"/>
          <w:szCs w:val="20"/>
          <w:lang w:val="en-US"/>
        </w:rPr>
        <w:t>)</w:t>
      </w:r>
    </w:p>
    <w:p w:rsidR="000C3200" w:rsidRPr="00D14281" w:rsidRDefault="001748B0" w:rsidP="001748B0">
      <w:pPr>
        <w:tabs>
          <w:tab w:val="left" w:pos="5576"/>
        </w:tabs>
        <w:ind w:left="1418" w:hanging="1418"/>
        <w:rPr>
          <w:sz w:val="20"/>
          <w:szCs w:val="20"/>
          <w:lang w:val="en-US"/>
        </w:rPr>
      </w:pPr>
      <w:r>
        <w:rPr>
          <w:sz w:val="20"/>
          <w:szCs w:val="20"/>
          <w:lang w:val="en-US"/>
        </w:rPr>
        <w:tab/>
      </w:r>
      <w:r>
        <w:rPr>
          <w:sz w:val="20"/>
          <w:szCs w:val="20"/>
          <w:lang w:val="en-US"/>
        </w:rPr>
        <w:tab/>
      </w:r>
    </w:p>
    <w:p w:rsidR="005277D9" w:rsidRPr="00D14281" w:rsidRDefault="005277D9" w:rsidP="005277D9">
      <w:pPr>
        <w:rPr>
          <w:sz w:val="20"/>
          <w:szCs w:val="20"/>
          <w:lang w:val="en-US"/>
        </w:rPr>
      </w:pPr>
      <w:r w:rsidRPr="00D14281">
        <w:rPr>
          <w:sz w:val="20"/>
          <w:szCs w:val="20"/>
          <w:lang w:val="en-US"/>
        </w:rPr>
        <w:t>Date:</w:t>
      </w:r>
      <w:r w:rsidRPr="00D14281">
        <w:rPr>
          <w:sz w:val="20"/>
          <w:szCs w:val="20"/>
          <w:lang w:val="en-US"/>
        </w:rPr>
        <w:tab/>
      </w:r>
      <w:r w:rsidRPr="00D14281">
        <w:rPr>
          <w:sz w:val="20"/>
          <w:szCs w:val="20"/>
          <w:lang w:val="en-US"/>
        </w:rPr>
        <w:tab/>
      </w:r>
      <w:r w:rsidR="00B55130">
        <w:rPr>
          <w:sz w:val="20"/>
          <w:szCs w:val="20"/>
          <w:lang w:val="en-US"/>
        </w:rPr>
        <w:t>Tuesday</w:t>
      </w:r>
      <w:r w:rsidR="00477565">
        <w:rPr>
          <w:sz w:val="20"/>
          <w:szCs w:val="20"/>
          <w:lang w:val="en-US"/>
        </w:rPr>
        <w:t xml:space="preserve">, </w:t>
      </w:r>
      <w:r w:rsidR="00477565">
        <w:rPr>
          <w:bCs/>
          <w:sz w:val="20"/>
          <w:szCs w:val="20"/>
          <w:lang w:val="en-GB"/>
        </w:rPr>
        <w:t>0</w:t>
      </w:r>
      <w:r w:rsidR="00B55130">
        <w:rPr>
          <w:bCs/>
          <w:sz w:val="20"/>
          <w:szCs w:val="20"/>
          <w:lang w:val="en-GB"/>
        </w:rPr>
        <w:t>5</w:t>
      </w:r>
      <w:r w:rsidRPr="00D14281">
        <w:rPr>
          <w:bCs/>
          <w:sz w:val="20"/>
          <w:szCs w:val="20"/>
          <w:lang w:val="en-GB"/>
        </w:rPr>
        <w:t xml:space="preserve"> </w:t>
      </w:r>
      <w:r w:rsidR="00B63DC4">
        <w:rPr>
          <w:bCs/>
          <w:sz w:val="20"/>
          <w:szCs w:val="20"/>
          <w:lang w:val="en-GB"/>
        </w:rPr>
        <w:t>October</w:t>
      </w:r>
      <w:r w:rsidR="002B6A95">
        <w:rPr>
          <w:bCs/>
          <w:sz w:val="20"/>
          <w:szCs w:val="20"/>
          <w:lang w:val="en-GB"/>
        </w:rPr>
        <w:t xml:space="preserve"> </w:t>
      </w:r>
      <w:r w:rsidRPr="00D14281">
        <w:rPr>
          <w:bCs/>
          <w:sz w:val="20"/>
          <w:szCs w:val="20"/>
          <w:lang w:val="en-GB"/>
        </w:rPr>
        <w:t>20</w:t>
      </w:r>
      <w:r w:rsidR="002B6A95">
        <w:rPr>
          <w:bCs/>
          <w:sz w:val="20"/>
          <w:szCs w:val="20"/>
          <w:lang w:val="en-GB"/>
        </w:rPr>
        <w:t>1</w:t>
      </w:r>
      <w:r w:rsidRPr="00D14281">
        <w:rPr>
          <w:bCs/>
          <w:sz w:val="20"/>
          <w:szCs w:val="20"/>
          <w:lang w:val="en-GB"/>
        </w:rPr>
        <w:t>0</w:t>
      </w:r>
    </w:p>
    <w:p w:rsidR="005277D9" w:rsidRPr="00D14281" w:rsidRDefault="005277D9" w:rsidP="005277D9">
      <w:pPr>
        <w:rPr>
          <w:sz w:val="20"/>
          <w:szCs w:val="20"/>
          <w:lang w:val="en-US"/>
        </w:rPr>
      </w:pPr>
      <w:r w:rsidRPr="00D14281">
        <w:rPr>
          <w:sz w:val="20"/>
          <w:szCs w:val="20"/>
          <w:lang w:val="en-US"/>
        </w:rPr>
        <w:t>Time:</w:t>
      </w:r>
      <w:r w:rsidRPr="00D14281">
        <w:rPr>
          <w:sz w:val="20"/>
          <w:szCs w:val="20"/>
          <w:lang w:val="en-US"/>
        </w:rPr>
        <w:tab/>
      </w:r>
      <w:r w:rsidRPr="00D14281">
        <w:rPr>
          <w:sz w:val="20"/>
          <w:szCs w:val="20"/>
          <w:lang w:val="en-US"/>
        </w:rPr>
        <w:tab/>
      </w:r>
      <w:r w:rsidR="00B55130">
        <w:rPr>
          <w:sz w:val="20"/>
          <w:szCs w:val="20"/>
          <w:lang w:val="en-US"/>
        </w:rPr>
        <w:t>18:00</w:t>
      </w:r>
      <w:r w:rsidR="002E2112" w:rsidRPr="002E2112">
        <w:rPr>
          <w:sz w:val="20"/>
          <w:szCs w:val="20"/>
          <w:lang w:val="en-US"/>
        </w:rPr>
        <w:t>—</w:t>
      </w:r>
      <w:r w:rsidR="00B55130">
        <w:rPr>
          <w:sz w:val="20"/>
          <w:szCs w:val="20"/>
          <w:lang w:val="en-US"/>
        </w:rPr>
        <w:t>19:30</w:t>
      </w:r>
      <w:r w:rsidR="002E2112">
        <w:rPr>
          <w:i/>
          <w:sz w:val="20"/>
          <w:szCs w:val="20"/>
          <w:lang w:val="en-US"/>
        </w:rPr>
        <w:t xml:space="preserve"> </w:t>
      </w:r>
      <w:r w:rsidR="009F1E3C">
        <w:rPr>
          <w:i/>
          <w:sz w:val="20"/>
          <w:szCs w:val="20"/>
          <w:lang w:val="en-US"/>
        </w:rPr>
        <w:t xml:space="preserve">(see detailed </w:t>
      </w:r>
      <w:proofErr w:type="spellStart"/>
      <w:r w:rsidR="009F1E3C">
        <w:rPr>
          <w:i/>
          <w:sz w:val="20"/>
          <w:szCs w:val="20"/>
          <w:lang w:val="en-US"/>
        </w:rPr>
        <w:t>programme</w:t>
      </w:r>
      <w:proofErr w:type="spellEnd"/>
      <w:r w:rsidRPr="002B6A95">
        <w:rPr>
          <w:i/>
          <w:sz w:val="20"/>
          <w:szCs w:val="20"/>
          <w:lang w:val="en-US"/>
        </w:rPr>
        <w:t xml:space="preserve"> below)</w:t>
      </w:r>
    </w:p>
    <w:p w:rsidR="002E2112" w:rsidRPr="003672B8" w:rsidRDefault="002E2112" w:rsidP="002E2112">
      <w:pPr>
        <w:rPr>
          <w:sz w:val="20"/>
          <w:szCs w:val="20"/>
          <w:lang w:val="en-US"/>
        </w:rPr>
      </w:pPr>
      <w:r w:rsidRPr="00D14281">
        <w:rPr>
          <w:sz w:val="20"/>
          <w:szCs w:val="20"/>
          <w:lang w:val="en-US"/>
        </w:rPr>
        <w:t>Location:</w:t>
      </w:r>
      <w:r w:rsidRPr="00D14281">
        <w:rPr>
          <w:sz w:val="20"/>
          <w:szCs w:val="20"/>
          <w:lang w:val="en-US"/>
        </w:rPr>
        <w:tab/>
      </w:r>
      <w:r w:rsidR="00B55130">
        <w:rPr>
          <w:bCs/>
          <w:sz w:val="20"/>
          <w:szCs w:val="20"/>
          <w:lang w:val="en-GB"/>
        </w:rPr>
        <w:t>Yinchuan</w:t>
      </w:r>
      <w:r>
        <w:rPr>
          <w:bCs/>
          <w:sz w:val="20"/>
          <w:szCs w:val="20"/>
          <w:lang w:val="en-GB"/>
        </w:rPr>
        <w:t xml:space="preserve"> (</w:t>
      </w:r>
      <w:proofErr w:type="spellStart"/>
      <w:r w:rsidRPr="003672B8">
        <w:rPr>
          <w:bCs/>
          <w:sz w:val="20"/>
          <w:szCs w:val="20"/>
          <w:lang w:val="en-GB"/>
        </w:rPr>
        <w:t>Meijiang</w:t>
      </w:r>
      <w:proofErr w:type="spellEnd"/>
      <w:r w:rsidRPr="003672B8">
        <w:rPr>
          <w:bCs/>
          <w:sz w:val="20"/>
          <w:szCs w:val="20"/>
          <w:lang w:val="en-GB"/>
        </w:rPr>
        <w:t xml:space="preserve"> Convention and Exhibition </w:t>
      </w:r>
      <w:proofErr w:type="spellStart"/>
      <w:r w:rsidRPr="003672B8">
        <w:rPr>
          <w:bCs/>
          <w:sz w:val="20"/>
          <w:szCs w:val="20"/>
          <w:lang w:val="en-GB"/>
        </w:rPr>
        <w:t>Center</w:t>
      </w:r>
      <w:proofErr w:type="spellEnd"/>
      <w:r w:rsidRPr="003672B8">
        <w:rPr>
          <w:bCs/>
          <w:sz w:val="20"/>
          <w:szCs w:val="20"/>
          <w:lang w:val="en-GB"/>
        </w:rPr>
        <w:t>, Tianjin</w:t>
      </w:r>
      <w:r>
        <w:rPr>
          <w:bCs/>
          <w:sz w:val="20"/>
          <w:szCs w:val="20"/>
          <w:lang w:val="en-GB"/>
        </w:rPr>
        <w:t>)</w:t>
      </w:r>
    </w:p>
    <w:p w:rsidR="00543868" w:rsidRDefault="00543868" w:rsidP="00B43A37">
      <w:pPr>
        <w:rPr>
          <w:sz w:val="20"/>
          <w:szCs w:val="20"/>
          <w:lang w:val="en-US"/>
        </w:rPr>
      </w:pPr>
    </w:p>
    <w:p w:rsidR="00B43A37" w:rsidRDefault="00861D79" w:rsidP="00B43A37">
      <w:pPr>
        <w:rPr>
          <w:sz w:val="20"/>
          <w:szCs w:val="20"/>
          <w:lang w:val="en-US"/>
        </w:rPr>
      </w:pPr>
      <w:r>
        <w:rPr>
          <w:sz w:val="20"/>
          <w:szCs w:val="20"/>
          <w:lang w:val="en-US"/>
        </w:rPr>
        <w:t>Format</w:t>
      </w:r>
      <w:r w:rsidR="005277D9" w:rsidRPr="00D14281">
        <w:rPr>
          <w:sz w:val="20"/>
          <w:szCs w:val="20"/>
          <w:lang w:val="en-US"/>
        </w:rPr>
        <w:t>:</w:t>
      </w:r>
      <w:r>
        <w:rPr>
          <w:sz w:val="20"/>
          <w:szCs w:val="20"/>
          <w:lang w:val="en-US"/>
        </w:rPr>
        <w:tab/>
      </w:r>
      <w:r>
        <w:rPr>
          <w:sz w:val="20"/>
          <w:szCs w:val="20"/>
          <w:lang w:val="en-US"/>
        </w:rPr>
        <w:tab/>
      </w:r>
      <w:r w:rsidR="00B43A37" w:rsidRPr="00B43A37">
        <w:rPr>
          <w:sz w:val="20"/>
          <w:szCs w:val="20"/>
          <w:lang w:val="en-US"/>
        </w:rPr>
        <w:t xml:space="preserve">Short </w:t>
      </w:r>
      <w:r w:rsidR="00BD03EE">
        <w:rPr>
          <w:sz w:val="20"/>
          <w:szCs w:val="20"/>
          <w:lang w:val="en-US"/>
        </w:rPr>
        <w:t xml:space="preserve">statements </w:t>
      </w:r>
      <w:r w:rsidR="00B43A37" w:rsidRPr="00B43A37">
        <w:rPr>
          <w:sz w:val="20"/>
          <w:szCs w:val="20"/>
          <w:lang w:val="en-US"/>
        </w:rPr>
        <w:t>(10</w:t>
      </w:r>
      <w:r w:rsidR="00A40296">
        <w:rPr>
          <w:sz w:val="20"/>
          <w:szCs w:val="20"/>
          <w:lang w:val="en-US"/>
        </w:rPr>
        <w:t xml:space="preserve"> </w:t>
      </w:r>
      <w:r w:rsidR="00B43A37" w:rsidRPr="00B43A37">
        <w:rPr>
          <w:sz w:val="20"/>
          <w:szCs w:val="20"/>
          <w:lang w:val="en-US"/>
        </w:rPr>
        <w:t>-1</w:t>
      </w:r>
      <w:r w:rsidR="00A40296">
        <w:rPr>
          <w:sz w:val="20"/>
          <w:szCs w:val="20"/>
          <w:lang w:val="en-US"/>
        </w:rPr>
        <w:t>2</w:t>
      </w:r>
      <w:r w:rsidR="00B43A37" w:rsidRPr="00B43A37">
        <w:rPr>
          <w:sz w:val="20"/>
          <w:szCs w:val="20"/>
          <w:lang w:val="en-US"/>
        </w:rPr>
        <w:t xml:space="preserve"> minutes) &amp; audience discussion</w:t>
      </w:r>
    </w:p>
    <w:p w:rsidR="005277D9" w:rsidRDefault="005277D9" w:rsidP="00677522">
      <w:pPr>
        <w:ind w:left="1410" w:hanging="1410"/>
        <w:rPr>
          <w:sz w:val="20"/>
          <w:szCs w:val="20"/>
          <w:lang w:val="en-US"/>
        </w:rPr>
      </w:pPr>
      <w:r w:rsidRPr="00D14281">
        <w:rPr>
          <w:sz w:val="20"/>
          <w:szCs w:val="20"/>
          <w:lang w:val="en-US"/>
        </w:rPr>
        <w:t>Topic:</w:t>
      </w:r>
      <w:r w:rsidRPr="00D14281">
        <w:rPr>
          <w:sz w:val="20"/>
          <w:szCs w:val="20"/>
          <w:lang w:val="en-US"/>
        </w:rPr>
        <w:tab/>
      </w:r>
      <w:r w:rsidR="00677522">
        <w:rPr>
          <w:sz w:val="20"/>
          <w:szCs w:val="20"/>
          <w:lang w:val="en-US"/>
        </w:rPr>
        <w:tab/>
      </w:r>
      <w:r w:rsidR="003629F7">
        <w:rPr>
          <w:sz w:val="20"/>
          <w:szCs w:val="20"/>
          <w:lang w:val="en-US"/>
        </w:rPr>
        <w:t>Findings of the German Marshall Fund Study Team on Climate Change and Migration</w:t>
      </w:r>
    </w:p>
    <w:p w:rsidR="00A40296" w:rsidRPr="00D14281" w:rsidRDefault="00A40296" w:rsidP="00677522">
      <w:pPr>
        <w:ind w:left="1410" w:hanging="1410"/>
        <w:rPr>
          <w:sz w:val="20"/>
          <w:szCs w:val="20"/>
          <w:lang w:val="en-US"/>
        </w:rPr>
      </w:pPr>
    </w:p>
    <w:p w:rsidR="005277D9" w:rsidRPr="00B63DC4" w:rsidRDefault="00643E7B" w:rsidP="005277D9">
      <w:pPr>
        <w:rPr>
          <w:sz w:val="20"/>
          <w:szCs w:val="20"/>
          <w:lang w:val="en-US"/>
        </w:rPr>
      </w:pPr>
      <w:r w:rsidRPr="00B63DC4">
        <w:rPr>
          <w:sz w:val="20"/>
          <w:szCs w:val="20"/>
          <w:lang w:val="en-US"/>
        </w:rPr>
        <w:t>Moderator</w:t>
      </w:r>
      <w:r w:rsidR="005277D9" w:rsidRPr="00B63DC4">
        <w:rPr>
          <w:sz w:val="20"/>
          <w:szCs w:val="20"/>
          <w:lang w:val="en-US"/>
        </w:rPr>
        <w:t>:</w:t>
      </w:r>
      <w:r w:rsidR="005277D9" w:rsidRPr="00B63DC4">
        <w:rPr>
          <w:sz w:val="20"/>
          <w:szCs w:val="20"/>
          <w:lang w:val="en-US"/>
        </w:rPr>
        <w:tab/>
      </w:r>
      <w:r w:rsidR="003629F7">
        <w:rPr>
          <w:sz w:val="20"/>
          <w:szCs w:val="20"/>
          <w:lang w:val="en-US"/>
        </w:rPr>
        <w:t>Koko Warner</w:t>
      </w:r>
      <w:r w:rsidR="000C3200" w:rsidRPr="00B63DC4">
        <w:rPr>
          <w:sz w:val="20"/>
          <w:szCs w:val="20"/>
          <w:lang w:val="en-US"/>
        </w:rPr>
        <w:t xml:space="preserve">, </w:t>
      </w:r>
      <w:r w:rsidR="003629F7">
        <w:rPr>
          <w:sz w:val="20"/>
          <w:szCs w:val="20"/>
          <w:lang w:val="en-US"/>
        </w:rPr>
        <w:t>UNU</w:t>
      </w:r>
    </w:p>
    <w:p w:rsidR="00677522" w:rsidRDefault="00677522" w:rsidP="005277D9">
      <w:pPr>
        <w:rPr>
          <w:sz w:val="20"/>
          <w:szCs w:val="20"/>
          <w:lang w:val="en-US"/>
        </w:rPr>
      </w:pPr>
    </w:p>
    <w:p w:rsidR="00AC04B7" w:rsidRPr="00B63DC4" w:rsidRDefault="00AC04B7" w:rsidP="005277D9">
      <w:pPr>
        <w:rPr>
          <w:sz w:val="20"/>
          <w:szCs w:val="20"/>
          <w:lang w:val="en-US"/>
        </w:rPr>
      </w:pPr>
    </w:p>
    <w:p w:rsidR="00E22CB8" w:rsidRPr="00D14281" w:rsidRDefault="00E22CB8" w:rsidP="00E22CB8">
      <w:pPr>
        <w:jc w:val="both"/>
        <w:rPr>
          <w:b/>
          <w:bCs/>
          <w:sz w:val="20"/>
          <w:szCs w:val="20"/>
          <w:u w:val="single"/>
          <w:lang w:val="en-US"/>
        </w:rPr>
      </w:pPr>
      <w:r w:rsidRPr="00D14281">
        <w:rPr>
          <w:b/>
          <w:bCs/>
          <w:sz w:val="20"/>
          <w:szCs w:val="20"/>
          <w:u w:val="single"/>
          <w:lang w:val="en-US"/>
        </w:rPr>
        <w:t>Objectives of the session</w:t>
      </w:r>
    </w:p>
    <w:p w:rsidR="00E22CB8" w:rsidRPr="00D14281" w:rsidRDefault="00E22CB8" w:rsidP="00E22CB8">
      <w:pPr>
        <w:spacing w:before="240"/>
        <w:rPr>
          <w:sz w:val="20"/>
          <w:szCs w:val="20"/>
          <w:lang w:val="en-GB"/>
        </w:rPr>
      </w:pPr>
      <w:r w:rsidRPr="00D14281">
        <w:rPr>
          <w:sz w:val="20"/>
          <w:szCs w:val="20"/>
          <w:lang w:val="en-GB"/>
        </w:rPr>
        <w:t xml:space="preserve">The purpose of this side event during the </w:t>
      </w:r>
      <w:r>
        <w:rPr>
          <w:sz w:val="20"/>
          <w:szCs w:val="20"/>
          <w:lang w:val="en-GB"/>
        </w:rPr>
        <w:t xml:space="preserve">October </w:t>
      </w:r>
      <w:r w:rsidRPr="00D14281">
        <w:rPr>
          <w:sz w:val="20"/>
          <w:szCs w:val="20"/>
          <w:lang w:val="en-GB"/>
        </w:rPr>
        <w:t xml:space="preserve">Climate Change Talks in </w:t>
      </w:r>
      <w:r>
        <w:rPr>
          <w:sz w:val="20"/>
          <w:szCs w:val="20"/>
          <w:lang w:val="en-GB"/>
        </w:rPr>
        <w:t>Tianjin</w:t>
      </w:r>
      <w:r w:rsidRPr="00D14281">
        <w:rPr>
          <w:sz w:val="20"/>
          <w:szCs w:val="20"/>
          <w:lang w:val="en-GB"/>
        </w:rPr>
        <w:t xml:space="preserve"> is threefold:</w:t>
      </w:r>
    </w:p>
    <w:p w:rsidR="00E22CB8" w:rsidRDefault="00E22CB8" w:rsidP="00E22CB8">
      <w:pPr>
        <w:numPr>
          <w:ilvl w:val="0"/>
          <w:numId w:val="1"/>
        </w:numPr>
        <w:spacing w:before="240"/>
        <w:rPr>
          <w:sz w:val="20"/>
          <w:szCs w:val="20"/>
          <w:lang w:val="en-GB"/>
        </w:rPr>
      </w:pPr>
      <w:r w:rsidRPr="003672B8">
        <w:rPr>
          <w:b/>
          <w:sz w:val="20"/>
          <w:szCs w:val="20"/>
          <w:lang w:val="en-GB"/>
        </w:rPr>
        <w:t>To explore</w:t>
      </w:r>
      <w:r>
        <w:rPr>
          <w:sz w:val="20"/>
          <w:szCs w:val="20"/>
          <w:lang w:val="en-GB"/>
        </w:rPr>
        <w:t xml:space="preserve"> findings from the German Marshall Fund-supported Study Team on Climate Change and Migration, and their implications for paragraph 4(f) of the draft AWG-LCA negotiating text;</w:t>
      </w:r>
      <w:r>
        <w:rPr>
          <w:sz w:val="20"/>
          <w:szCs w:val="20"/>
          <w:lang w:val="en-GB"/>
        </w:rPr>
        <w:br/>
      </w:r>
    </w:p>
    <w:p w:rsidR="00E22CB8" w:rsidRPr="00D14281" w:rsidRDefault="00E22CB8" w:rsidP="00E22CB8">
      <w:pPr>
        <w:numPr>
          <w:ilvl w:val="0"/>
          <w:numId w:val="1"/>
        </w:numPr>
        <w:rPr>
          <w:sz w:val="20"/>
          <w:szCs w:val="20"/>
          <w:lang w:val="en-GB"/>
        </w:rPr>
      </w:pPr>
      <w:r w:rsidRPr="003672B8">
        <w:rPr>
          <w:b/>
          <w:sz w:val="20"/>
          <w:szCs w:val="20"/>
          <w:lang w:val="en-GB"/>
        </w:rPr>
        <w:t>To discuss</w:t>
      </w:r>
      <w:r w:rsidRPr="00D14281">
        <w:rPr>
          <w:sz w:val="20"/>
          <w:szCs w:val="20"/>
          <w:lang w:val="en-GB"/>
        </w:rPr>
        <w:t xml:space="preserve"> </w:t>
      </w:r>
      <w:r>
        <w:rPr>
          <w:sz w:val="20"/>
          <w:szCs w:val="20"/>
          <w:lang w:val="en-GB"/>
        </w:rPr>
        <w:t>policy alternatives for managing migration and displacement in the context of adaptation by attending delegates;</w:t>
      </w:r>
      <w:r w:rsidRPr="00D14281">
        <w:rPr>
          <w:sz w:val="20"/>
          <w:szCs w:val="20"/>
          <w:lang w:val="en-GB"/>
        </w:rPr>
        <w:t xml:space="preserve"> </w:t>
      </w:r>
    </w:p>
    <w:p w:rsidR="00E22CB8" w:rsidRDefault="00E22CB8" w:rsidP="00E22CB8">
      <w:pPr>
        <w:widowControl w:val="0"/>
        <w:numPr>
          <w:ilvl w:val="0"/>
          <w:numId w:val="1"/>
        </w:numPr>
        <w:spacing w:before="240"/>
        <w:jc w:val="both"/>
        <w:rPr>
          <w:b/>
          <w:sz w:val="20"/>
          <w:szCs w:val="20"/>
          <w:lang w:val="en-US"/>
        </w:rPr>
      </w:pPr>
      <w:r w:rsidRPr="00694EC7">
        <w:rPr>
          <w:b/>
          <w:sz w:val="20"/>
          <w:szCs w:val="20"/>
          <w:lang w:val="en-GB"/>
        </w:rPr>
        <w:t xml:space="preserve">To put forward ideas and options </w:t>
      </w:r>
      <w:r w:rsidRPr="00694EC7">
        <w:rPr>
          <w:sz w:val="20"/>
          <w:szCs w:val="20"/>
          <w:lang w:val="en-GB"/>
        </w:rPr>
        <w:t xml:space="preserve">for feasible, catalytic COP decisions on </w:t>
      </w:r>
      <w:r>
        <w:rPr>
          <w:sz w:val="20"/>
          <w:szCs w:val="20"/>
          <w:lang w:val="en-GB"/>
        </w:rPr>
        <w:t xml:space="preserve">adaptation </w:t>
      </w:r>
      <w:proofErr w:type="spellStart"/>
      <w:r>
        <w:rPr>
          <w:sz w:val="20"/>
          <w:szCs w:val="20"/>
          <w:lang w:val="en-GB"/>
        </w:rPr>
        <w:t>whihch</w:t>
      </w:r>
      <w:proofErr w:type="spellEnd"/>
      <w:r>
        <w:rPr>
          <w:sz w:val="20"/>
          <w:szCs w:val="20"/>
          <w:lang w:val="en-GB"/>
        </w:rPr>
        <w:t xml:space="preserve"> may help raise awareness and foster policy dialogue on migration and displacement</w:t>
      </w:r>
      <w:r w:rsidRPr="00694EC7">
        <w:rPr>
          <w:sz w:val="20"/>
          <w:szCs w:val="20"/>
          <w:lang w:val="en-GB"/>
        </w:rPr>
        <w:t>.</w:t>
      </w:r>
    </w:p>
    <w:p w:rsidR="00E22CB8" w:rsidRDefault="00E22CB8" w:rsidP="00907614">
      <w:pPr>
        <w:jc w:val="both"/>
        <w:rPr>
          <w:b/>
          <w:bCs/>
          <w:sz w:val="20"/>
          <w:szCs w:val="20"/>
          <w:u w:val="single"/>
          <w:lang w:val="en-US"/>
        </w:rPr>
      </w:pPr>
    </w:p>
    <w:p w:rsidR="00907614" w:rsidRPr="00907614" w:rsidRDefault="00E22CB8" w:rsidP="00907614">
      <w:pPr>
        <w:jc w:val="both"/>
        <w:rPr>
          <w:b/>
          <w:bCs/>
          <w:sz w:val="20"/>
          <w:szCs w:val="20"/>
          <w:u w:val="single"/>
          <w:lang w:val="en-US"/>
        </w:rPr>
      </w:pPr>
      <w:r>
        <w:rPr>
          <w:b/>
          <w:bCs/>
          <w:sz w:val="20"/>
          <w:szCs w:val="20"/>
          <w:u w:val="single"/>
          <w:lang w:val="en-US"/>
        </w:rPr>
        <w:t>Background</w:t>
      </w:r>
    </w:p>
    <w:p w:rsidR="00AC2F65" w:rsidRPr="00AC2F65" w:rsidRDefault="00E22CB8" w:rsidP="00AC2F65">
      <w:pPr>
        <w:jc w:val="both"/>
        <w:rPr>
          <w:rFonts w:cs="Arial"/>
          <w:sz w:val="20"/>
          <w:szCs w:val="20"/>
          <w:lang w:val="en-US"/>
        </w:rPr>
      </w:pPr>
      <w:r>
        <w:rPr>
          <w:rFonts w:cs="Arial"/>
          <w:sz w:val="20"/>
          <w:szCs w:val="20"/>
          <w:lang w:val="en-US"/>
        </w:rPr>
        <w:t>Human m</w:t>
      </w:r>
      <w:r w:rsidR="00AC2F65" w:rsidRPr="00AC2F65">
        <w:rPr>
          <w:rFonts w:cs="Arial"/>
          <w:sz w:val="20"/>
          <w:szCs w:val="20"/>
          <w:lang w:val="en-US"/>
        </w:rPr>
        <w:t xml:space="preserve">igration is a mechanism through which people manage the risks associated with variability and change in climate, but the direct and determinative causal linkages between climate change and migration are difficult to identify. Rather, environmental change enters into migration decisions along with other considerations, such as the presence of networks in destinations (urban areas within one’s country and other countries), income disparities between source and destination areas, and the availability of other risk management strategies (e.g., crop insurance). </w:t>
      </w:r>
      <w:r>
        <w:rPr>
          <w:rFonts w:cs="Arial"/>
          <w:sz w:val="20"/>
          <w:szCs w:val="20"/>
          <w:lang w:val="en-US"/>
        </w:rPr>
        <w:t xml:space="preserve"> </w:t>
      </w:r>
    </w:p>
    <w:p w:rsidR="00AC2F65" w:rsidRPr="00AC2F65" w:rsidRDefault="00AC2F65" w:rsidP="00AC2F65">
      <w:pPr>
        <w:jc w:val="both"/>
        <w:rPr>
          <w:rFonts w:cs="Arial"/>
          <w:sz w:val="20"/>
          <w:szCs w:val="20"/>
          <w:lang w:val="en-US"/>
        </w:rPr>
      </w:pPr>
    </w:p>
    <w:p w:rsidR="00677522" w:rsidRPr="00AC2F65" w:rsidRDefault="00AC2F65" w:rsidP="00677522">
      <w:pPr>
        <w:jc w:val="both"/>
        <w:rPr>
          <w:rFonts w:cs="Arial"/>
          <w:sz w:val="20"/>
          <w:szCs w:val="20"/>
          <w:lang w:val="en-GB"/>
        </w:rPr>
      </w:pPr>
      <w:r w:rsidRPr="00AC2F65">
        <w:rPr>
          <w:rFonts w:cs="Arial"/>
          <w:sz w:val="20"/>
          <w:szCs w:val="20"/>
          <w:lang w:val="en-GB"/>
        </w:rPr>
        <w:t>The Transatlantic Study Team on Climate Change and Migration was established with generous funding from the German Marshall Fund of the United States in June 2009 to promote greater understanding of the interconnections between environmental change and the movements of people within their own countries and across international borders. The study team is composed of experts, policymakers and practitioners from the migration, environment and humanitarian communities. Team members are from a broad range of institutions in the United States, Germany, the United Kingdom, Mexico and Senegal, representing potential source and destination countries for migration associated in whole or in part by climate change.</w:t>
      </w:r>
      <w:r w:rsidR="00543868">
        <w:rPr>
          <w:rFonts w:cs="Arial"/>
          <w:sz w:val="20"/>
          <w:szCs w:val="20"/>
          <w:lang w:val="en-GB"/>
        </w:rPr>
        <w:t xml:space="preserve"> These findings have also been discussed at the 2010UNU-Munich Re Foundation Summer Academy on Social Vulnerability (</w:t>
      </w:r>
      <w:hyperlink r:id="rId7" w:history="1">
        <w:r w:rsidR="00543868" w:rsidRPr="00CB73E9">
          <w:rPr>
            <w:rStyle w:val="Hyperlink"/>
            <w:rFonts w:cs="Arial"/>
            <w:sz w:val="20"/>
            <w:szCs w:val="20"/>
            <w:lang w:val="en-GB"/>
          </w:rPr>
          <w:t>http://www.ehs.unu.edu/article/read/summer-academy</w:t>
        </w:r>
      </w:hyperlink>
      <w:r w:rsidR="00543868">
        <w:rPr>
          <w:rFonts w:cs="Arial"/>
          <w:sz w:val="20"/>
          <w:szCs w:val="20"/>
          <w:lang w:val="en-GB"/>
        </w:rPr>
        <w:t xml:space="preserve"> ), and policy </w:t>
      </w:r>
      <w:proofErr w:type="spellStart"/>
      <w:r w:rsidR="00543868">
        <w:rPr>
          <w:rFonts w:cs="Arial"/>
          <w:sz w:val="20"/>
          <w:szCs w:val="20"/>
          <w:lang w:val="en-GB"/>
        </w:rPr>
        <w:t>fora</w:t>
      </w:r>
      <w:proofErr w:type="spellEnd"/>
      <w:r w:rsidR="00543868">
        <w:rPr>
          <w:rFonts w:cs="Arial"/>
          <w:sz w:val="20"/>
          <w:szCs w:val="20"/>
          <w:lang w:val="en-GB"/>
        </w:rPr>
        <w:t xml:space="preserve"> in Berlin, Brussels and Washington DC.</w:t>
      </w:r>
    </w:p>
    <w:p w:rsidR="00AC2F65" w:rsidRDefault="00AC2F65" w:rsidP="00677522">
      <w:pPr>
        <w:jc w:val="both"/>
        <w:rPr>
          <w:rFonts w:cs="Arial"/>
          <w:sz w:val="20"/>
          <w:szCs w:val="20"/>
          <w:lang w:val="en-GB"/>
        </w:rPr>
      </w:pPr>
    </w:p>
    <w:p w:rsidR="009249FE" w:rsidRDefault="009249FE" w:rsidP="00677522">
      <w:pPr>
        <w:jc w:val="both"/>
        <w:rPr>
          <w:rFonts w:cs="Arial"/>
          <w:sz w:val="20"/>
          <w:szCs w:val="20"/>
          <w:lang w:val="en-GB"/>
        </w:rPr>
      </w:pPr>
      <w:r>
        <w:rPr>
          <w:rFonts w:cs="Arial"/>
          <w:sz w:val="20"/>
          <w:szCs w:val="20"/>
          <w:lang w:val="en-GB"/>
        </w:rPr>
        <w:lastRenderedPageBreak/>
        <w:t xml:space="preserve">Findings and background papers can be found at: </w:t>
      </w:r>
      <w:hyperlink r:id="rId8" w:history="1">
        <w:r w:rsidR="00CD3314" w:rsidRPr="00CB73E9">
          <w:rPr>
            <w:rStyle w:val="Hyperlink"/>
            <w:rFonts w:cs="Arial"/>
            <w:sz w:val="20"/>
            <w:szCs w:val="20"/>
            <w:lang w:val="en-GB"/>
          </w:rPr>
          <w:t>http://www.ehs.unu.edu/article/read/gmf</w:t>
        </w:r>
      </w:hyperlink>
      <w:r w:rsidR="00CD3314">
        <w:rPr>
          <w:rFonts w:cs="Arial"/>
          <w:sz w:val="20"/>
          <w:szCs w:val="20"/>
          <w:lang w:val="en-GB"/>
        </w:rPr>
        <w:t xml:space="preserve"> and </w:t>
      </w:r>
      <w:hyperlink r:id="rId9" w:history="1">
        <w:r w:rsidRPr="00CB73E9">
          <w:rPr>
            <w:rStyle w:val="Hyperlink"/>
            <w:rFonts w:cs="Arial"/>
            <w:sz w:val="20"/>
            <w:szCs w:val="20"/>
            <w:lang w:val="en-GB"/>
          </w:rPr>
          <w:t>http://www.gmfus.org/cs/publications/publication_view?publication.id=650</w:t>
        </w:r>
      </w:hyperlink>
      <w:r>
        <w:rPr>
          <w:rFonts w:cs="Arial"/>
          <w:sz w:val="20"/>
          <w:szCs w:val="20"/>
          <w:lang w:val="en-GB"/>
        </w:rPr>
        <w:t xml:space="preserve"> </w:t>
      </w:r>
      <w:r w:rsidR="00CD3314">
        <w:rPr>
          <w:rFonts w:cs="Arial"/>
          <w:sz w:val="20"/>
          <w:szCs w:val="20"/>
          <w:lang w:val="en-GB"/>
        </w:rPr>
        <w:t>.</w:t>
      </w:r>
    </w:p>
    <w:p w:rsidR="009249FE" w:rsidRPr="00AC2F65" w:rsidRDefault="009249FE" w:rsidP="00677522">
      <w:pPr>
        <w:jc w:val="both"/>
        <w:rPr>
          <w:rFonts w:cs="Arial"/>
          <w:sz w:val="20"/>
          <w:szCs w:val="20"/>
          <w:lang w:val="en-GB"/>
        </w:rPr>
      </w:pPr>
    </w:p>
    <w:p w:rsidR="00907614" w:rsidRPr="00A05FBC" w:rsidRDefault="00A05FBC" w:rsidP="005277D9">
      <w:pPr>
        <w:rPr>
          <w:b/>
          <w:sz w:val="20"/>
          <w:szCs w:val="20"/>
          <w:lang w:val="en-US"/>
        </w:rPr>
      </w:pPr>
      <w:proofErr w:type="spellStart"/>
      <w:r w:rsidRPr="00A05FBC">
        <w:rPr>
          <w:b/>
          <w:sz w:val="20"/>
          <w:szCs w:val="20"/>
          <w:lang w:val="en-US"/>
        </w:rPr>
        <w:t>Program</w:t>
      </w:r>
      <w:r w:rsidR="009F1E3C">
        <w:rPr>
          <w:b/>
          <w:sz w:val="20"/>
          <w:szCs w:val="20"/>
          <w:lang w:val="en-US"/>
        </w:rPr>
        <w:t>me</w:t>
      </w:r>
      <w:proofErr w:type="spellEnd"/>
      <w:r w:rsidRPr="00A05FBC">
        <w:rPr>
          <w:b/>
          <w:sz w:val="20"/>
          <w:szCs w:val="20"/>
          <w:lang w:val="en-US"/>
        </w:rPr>
        <w:t xml:space="preserve"> outline</w:t>
      </w:r>
    </w:p>
    <w:p w:rsidR="00A05FBC" w:rsidRPr="005233E6" w:rsidRDefault="00A05FBC" w:rsidP="005277D9">
      <w:pPr>
        <w:rPr>
          <w:sz w:val="20"/>
          <w:szCs w:val="20"/>
          <w:lang w:val="en-US"/>
        </w:rPr>
      </w:pPr>
    </w:p>
    <w:tbl>
      <w:tblPr>
        <w:tblStyle w:val="TableGrid"/>
        <w:tblW w:w="0" w:type="auto"/>
        <w:tblBorders>
          <w:left w:val="none" w:sz="0" w:space="0" w:color="auto"/>
          <w:right w:val="none" w:sz="0" w:space="0" w:color="auto"/>
          <w:insideV w:val="none" w:sz="0" w:space="0" w:color="auto"/>
        </w:tblBorders>
        <w:tblLook w:val="01E0"/>
      </w:tblPr>
      <w:tblGrid>
        <w:gridCol w:w="1908"/>
        <w:gridCol w:w="3420"/>
        <w:gridCol w:w="3884"/>
      </w:tblGrid>
      <w:tr w:rsidR="005277D9" w:rsidRPr="00BC5C97" w:rsidTr="002B1DA3">
        <w:tc>
          <w:tcPr>
            <w:tcW w:w="1908" w:type="dxa"/>
            <w:vAlign w:val="center"/>
          </w:tcPr>
          <w:p w:rsidR="005277D9" w:rsidRPr="00D14281" w:rsidRDefault="005277D9" w:rsidP="00CC199A">
            <w:pPr>
              <w:jc w:val="center"/>
              <w:rPr>
                <w:b/>
                <w:bCs/>
                <w:sz w:val="20"/>
                <w:szCs w:val="20"/>
              </w:rPr>
            </w:pPr>
            <w:r w:rsidRPr="00D14281">
              <w:rPr>
                <w:b/>
                <w:bCs/>
                <w:sz w:val="20"/>
                <w:szCs w:val="20"/>
              </w:rPr>
              <w:t>Introduction &amp;</w:t>
            </w:r>
          </w:p>
          <w:p w:rsidR="005277D9" w:rsidRPr="00D14281" w:rsidRDefault="005277D9" w:rsidP="00CC199A">
            <w:pPr>
              <w:jc w:val="center"/>
              <w:rPr>
                <w:b/>
                <w:bCs/>
                <w:sz w:val="20"/>
                <w:szCs w:val="20"/>
              </w:rPr>
            </w:pPr>
            <w:r w:rsidRPr="00D14281">
              <w:rPr>
                <w:b/>
                <w:bCs/>
                <w:sz w:val="20"/>
                <w:szCs w:val="20"/>
              </w:rPr>
              <w:t>Moderation</w:t>
            </w:r>
          </w:p>
        </w:tc>
        <w:tc>
          <w:tcPr>
            <w:tcW w:w="3420" w:type="dxa"/>
            <w:vAlign w:val="center"/>
          </w:tcPr>
          <w:p w:rsidR="005277D9" w:rsidRPr="00D14281" w:rsidRDefault="005277D9" w:rsidP="002B1DA3">
            <w:pPr>
              <w:rPr>
                <w:sz w:val="20"/>
                <w:szCs w:val="20"/>
                <w:lang w:val="en-US"/>
              </w:rPr>
            </w:pPr>
          </w:p>
        </w:tc>
        <w:tc>
          <w:tcPr>
            <w:tcW w:w="3884" w:type="dxa"/>
          </w:tcPr>
          <w:p w:rsidR="005277D9" w:rsidRDefault="005277D9" w:rsidP="00CC199A">
            <w:pPr>
              <w:rPr>
                <w:sz w:val="20"/>
                <w:szCs w:val="20"/>
                <w:lang w:val="en-GB"/>
              </w:rPr>
            </w:pPr>
          </w:p>
          <w:p w:rsidR="007B5332" w:rsidRDefault="007B5332" w:rsidP="00CC199A">
            <w:pPr>
              <w:rPr>
                <w:sz w:val="20"/>
                <w:szCs w:val="20"/>
                <w:lang w:val="en-GB"/>
              </w:rPr>
            </w:pPr>
          </w:p>
          <w:p w:rsidR="005233E6" w:rsidRPr="00735A36" w:rsidRDefault="005233E6" w:rsidP="00CC199A">
            <w:pPr>
              <w:rPr>
                <w:sz w:val="20"/>
                <w:szCs w:val="20"/>
                <w:lang w:val="en-GB"/>
              </w:rPr>
            </w:pPr>
          </w:p>
        </w:tc>
      </w:tr>
      <w:tr w:rsidR="00042793" w:rsidRPr="001748B0" w:rsidTr="002D1626">
        <w:trPr>
          <w:trHeight w:val="885"/>
        </w:trPr>
        <w:tc>
          <w:tcPr>
            <w:tcW w:w="1908" w:type="dxa"/>
            <w:vMerge w:val="restart"/>
            <w:vAlign w:val="center"/>
          </w:tcPr>
          <w:p w:rsidR="00042793" w:rsidRPr="0096572B" w:rsidRDefault="00042793" w:rsidP="00CC199A">
            <w:pPr>
              <w:jc w:val="center"/>
              <w:rPr>
                <w:b/>
                <w:bCs/>
                <w:sz w:val="20"/>
                <w:szCs w:val="20"/>
                <w:lang w:val="en-US"/>
              </w:rPr>
            </w:pPr>
            <w:r w:rsidRPr="0096572B">
              <w:rPr>
                <w:b/>
                <w:bCs/>
                <w:sz w:val="20"/>
                <w:szCs w:val="20"/>
                <w:lang w:val="en-US"/>
              </w:rPr>
              <w:t>1</w:t>
            </w:r>
            <w:r w:rsidR="00734E43">
              <w:rPr>
                <w:b/>
                <w:bCs/>
                <w:sz w:val="20"/>
                <w:szCs w:val="20"/>
                <w:lang w:val="en-US"/>
              </w:rPr>
              <w:t>8</w:t>
            </w:r>
            <w:r w:rsidRPr="0096572B">
              <w:rPr>
                <w:b/>
                <w:bCs/>
                <w:sz w:val="20"/>
                <w:szCs w:val="20"/>
                <w:lang w:val="en-US"/>
              </w:rPr>
              <w:t>:</w:t>
            </w:r>
            <w:r w:rsidR="00734E43">
              <w:rPr>
                <w:b/>
                <w:bCs/>
                <w:sz w:val="20"/>
                <w:szCs w:val="20"/>
                <w:lang w:val="en-US"/>
              </w:rPr>
              <w:t>00</w:t>
            </w:r>
            <w:r w:rsidRPr="0096572B">
              <w:rPr>
                <w:b/>
                <w:bCs/>
                <w:sz w:val="20"/>
                <w:szCs w:val="20"/>
                <w:lang w:val="en-US"/>
              </w:rPr>
              <w:t xml:space="preserve"> – </w:t>
            </w:r>
            <w:r w:rsidR="00735A36">
              <w:rPr>
                <w:b/>
                <w:bCs/>
                <w:sz w:val="20"/>
                <w:szCs w:val="20"/>
                <w:lang w:val="en-US"/>
              </w:rPr>
              <w:t>1</w:t>
            </w:r>
            <w:r w:rsidR="00734E43">
              <w:rPr>
                <w:b/>
                <w:bCs/>
                <w:sz w:val="20"/>
                <w:szCs w:val="20"/>
                <w:lang w:val="en-US"/>
              </w:rPr>
              <w:t>8</w:t>
            </w:r>
            <w:r w:rsidRPr="0096572B">
              <w:rPr>
                <w:b/>
                <w:bCs/>
                <w:sz w:val="20"/>
                <w:szCs w:val="20"/>
                <w:lang w:val="en-US"/>
              </w:rPr>
              <w:t>:</w:t>
            </w:r>
            <w:r w:rsidR="007B5332">
              <w:rPr>
                <w:b/>
                <w:bCs/>
                <w:sz w:val="20"/>
                <w:szCs w:val="20"/>
                <w:lang w:val="en-US"/>
              </w:rPr>
              <w:t>45</w:t>
            </w:r>
          </w:p>
          <w:p w:rsidR="00042793" w:rsidRPr="0096572B" w:rsidRDefault="00042793" w:rsidP="00CC199A">
            <w:pPr>
              <w:jc w:val="center"/>
              <w:rPr>
                <w:b/>
                <w:bCs/>
                <w:sz w:val="20"/>
                <w:szCs w:val="20"/>
                <w:lang w:val="en-US"/>
              </w:rPr>
            </w:pPr>
          </w:p>
          <w:p w:rsidR="00042793" w:rsidRPr="0096572B" w:rsidRDefault="00042793" w:rsidP="00B43A37">
            <w:pPr>
              <w:jc w:val="center"/>
              <w:rPr>
                <w:b/>
                <w:bCs/>
                <w:sz w:val="20"/>
                <w:szCs w:val="20"/>
                <w:lang w:val="en-US"/>
              </w:rPr>
            </w:pPr>
            <w:r w:rsidRPr="0096572B">
              <w:rPr>
                <w:b/>
                <w:bCs/>
                <w:sz w:val="20"/>
                <w:szCs w:val="20"/>
                <w:lang w:val="en-US"/>
              </w:rPr>
              <w:t xml:space="preserve">Expert </w:t>
            </w:r>
            <w:r w:rsidR="00B43A37">
              <w:rPr>
                <w:b/>
                <w:bCs/>
                <w:sz w:val="20"/>
                <w:szCs w:val="20"/>
                <w:lang w:val="en-US"/>
              </w:rPr>
              <w:t>Panel</w:t>
            </w:r>
          </w:p>
        </w:tc>
        <w:tc>
          <w:tcPr>
            <w:tcW w:w="3420" w:type="dxa"/>
            <w:tcBorders>
              <w:bottom w:val="nil"/>
            </w:tcBorders>
          </w:tcPr>
          <w:p w:rsidR="007B5332" w:rsidRDefault="007B5332" w:rsidP="00CC199A">
            <w:pPr>
              <w:rPr>
                <w:sz w:val="20"/>
                <w:szCs w:val="20"/>
                <w:lang w:val="en-GB"/>
              </w:rPr>
            </w:pPr>
          </w:p>
          <w:p w:rsidR="009F1E3C" w:rsidRPr="00F467C7" w:rsidRDefault="009F1E3C" w:rsidP="009F1E3C">
            <w:pPr>
              <w:rPr>
                <w:b/>
                <w:sz w:val="20"/>
                <w:szCs w:val="20"/>
                <w:lang w:val="en-US"/>
              </w:rPr>
            </w:pPr>
            <w:r w:rsidRPr="00F467C7">
              <w:rPr>
                <w:b/>
                <w:sz w:val="20"/>
                <w:szCs w:val="20"/>
                <w:lang w:val="en-US"/>
              </w:rPr>
              <w:t>Koko Warner,</w:t>
            </w:r>
            <w:r w:rsidRPr="00F467C7">
              <w:rPr>
                <w:sz w:val="20"/>
                <w:szCs w:val="20"/>
                <w:lang w:val="en-US"/>
              </w:rPr>
              <w:t xml:space="preserve"> </w:t>
            </w:r>
            <w:r w:rsidR="00861AAF" w:rsidRPr="00E568F5">
              <w:rPr>
                <w:b/>
                <w:sz w:val="20"/>
                <w:szCs w:val="20"/>
                <w:lang w:val="en-US"/>
              </w:rPr>
              <w:t>UNU</w:t>
            </w:r>
          </w:p>
          <w:p w:rsidR="009F1E3C" w:rsidRDefault="009F1E3C" w:rsidP="00CC199A">
            <w:pPr>
              <w:rPr>
                <w:sz w:val="20"/>
                <w:szCs w:val="20"/>
                <w:lang w:val="en-GB"/>
              </w:rPr>
            </w:pPr>
          </w:p>
          <w:p w:rsidR="009F1E3C" w:rsidRDefault="009F1E3C" w:rsidP="00CC199A">
            <w:pPr>
              <w:rPr>
                <w:sz w:val="20"/>
                <w:szCs w:val="20"/>
                <w:lang w:val="en-GB"/>
              </w:rPr>
            </w:pPr>
          </w:p>
          <w:p w:rsidR="009F1E3C" w:rsidRDefault="009F1E3C" w:rsidP="00CC199A">
            <w:pPr>
              <w:rPr>
                <w:sz w:val="20"/>
                <w:szCs w:val="20"/>
                <w:lang w:val="en-GB"/>
              </w:rPr>
            </w:pPr>
          </w:p>
          <w:p w:rsidR="00E1684E" w:rsidRDefault="00E568F5" w:rsidP="009F1E3C">
            <w:pPr>
              <w:rPr>
                <w:sz w:val="20"/>
                <w:szCs w:val="20"/>
                <w:lang w:val="en-US"/>
              </w:rPr>
            </w:pPr>
            <w:r>
              <w:rPr>
                <w:b/>
                <w:sz w:val="20"/>
                <w:szCs w:val="20"/>
                <w:lang w:val="en-US"/>
              </w:rPr>
              <w:t xml:space="preserve">Sven </w:t>
            </w:r>
            <w:proofErr w:type="spellStart"/>
            <w:r>
              <w:rPr>
                <w:b/>
                <w:sz w:val="20"/>
                <w:szCs w:val="20"/>
                <w:lang w:val="en-US"/>
              </w:rPr>
              <w:t>Harmeling</w:t>
            </w:r>
            <w:proofErr w:type="spellEnd"/>
            <w:r>
              <w:rPr>
                <w:b/>
                <w:sz w:val="20"/>
                <w:szCs w:val="20"/>
                <w:lang w:val="en-US"/>
              </w:rPr>
              <w:t xml:space="preserve">, </w:t>
            </w:r>
            <w:proofErr w:type="spellStart"/>
            <w:r>
              <w:rPr>
                <w:b/>
                <w:sz w:val="20"/>
                <w:szCs w:val="20"/>
                <w:lang w:val="en-US"/>
              </w:rPr>
              <w:t>Germanwatch</w:t>
            </w:r>
            <w:proofErr w:type="spellEnd"/>
          </w:p>
          <w:p w:rsidR="00E1684E" w:rsidRDefault="00E1684E" w:rsidP="009F1E3C">
            <w:pPr>
              <w:rPr>
                <w:sz w:val="20"/>
                <w:szCs w:val="20"/>
                <w:lang w:val="en-US"/>
              </w:rPr>
            </w:pPr>
          </w:p>
          <w:p w:rsidR="00E1684E" w:rsidRDefault="00E1684E" w:rsidP="009F1E3C">
            <w:pPr>
              <w:rPr>
                <w:sz w:val="20"/>
                <w:szCs w:val="20"/>
                <w:lang w:val="en-US"/>
              </w:rPr>
            </w:pPr>
          </w:p>
          <w:p w:rsidR="00E1684E" w:rsidRDefault="00E1684E" w:rsidP="009F1E3C">
            <w:pPr>
              <w:rPr>
                <w:sz w:val="20"/>
                <w:szCs w:val="20"/>
                <w:lang w:val="en-US"/>
              </w:rPr>
            </w:pPr>
          </w:p>
          <w:p w:rsidR="00734E43" w:rsidRDefault="00734E43" w:rsidP="009F1E3C">
            <w:pPr>
              <w:rPr>
                <w:sz w:val="20"/>
                <w:szCs w:val="20"/>
                <w:lang w:val="en-US"/>
              </w:rPr>
            </w:pPr>
          </w:p>
          <w:p w:rsidR="009F1E3C" w:rsidRDefault="009F1E3C" w:rsidP="009F1E3C">
            <w:pPr>
              <w:rPr>
                <w:sz w:val="20"/>
                <w:szCs w:val="20"/>
                <w:lang w:val="en-US"/>
              </w:rPr>
            </w:pPr>
            <w:r w:rsidRPr="007B5332">
              <w:rPr>
                <w:sz w:val="20"/>
                <w:szCs w:val="20"/>
                <w:lang w:val="en-US"/>
              </w:rPr>
              <w:t xml:space="preserve">Representative of </w:t>
            </w:r>
            <w:r w:rsidR="00734E43">
              <w:rPr>
                <w:b/>
                <w:sz w:val="20"/>
                <w:szCs w:val="20"/>
                <w:lang w:val="en-US"/>
              </w:rPr>
              <w:t>Bangladesh</w:t>
            </w:r>
            <w:r>
              <w:rPr>
                <w:b/>
                <w:sz w:val="20"/>
                <w:szCs w:val="20"/>
                <w:lang w:val="en-US"/>
              </w:rPr>
              <w:t xml:space="preserve"> delegation</w:t>
            </w:r>
          </w:p>
          <w:p w:rsidR="00042793" w:rsidRPr="00042793" w:rsidRDefault="00042793" w:rsidP="00CC199A">
            <w:pPr>
              <w:rPr>
                <w:sz w:val="20"/>
                <w:szCs w:val="20"/>
                <w:lang w:val="en-US"/>
              </w:rPr>
            </w:pPr>
          </w:p>
        </w:tc>
        <w:tc>
          <w:tcPr>
            <w:tcW w:w="3884" w:type="dxa"/>
            <w:tcBorders>
              <w:bottom w:val="nil"/>
            </w:tcBorders>
          </w:tcPr>
          <w:p w:rsidR="007B5332" w:rsidRDefault="007B5332" w:rsidP="007B5332">
            <w:pPr>
              <w:rPr>
                <w:sz w:val="20"/>
                <w:szCs w:val="20"/>
                <w:lang w:val="en-US"/>
              </w:rPr>
            </w:pPr>
          </w:p>
          <w:p w:rsidR="009F1E3C" w:rsidRDefault="00861AAF" w:rsidP="009F1E3C">
            <w:pPr>
              <w:rPr>
                <w:sz w:val="20"/>
                <w:szCs w:val="20"/>
                <w:lang w:val="en-US"/>
              </w:rPr>
            </w:pPr>
            <w:r>
              <w:rPr>
                <w:sz w:val="20"/>
                <w:szCs w:val="20"/>
                <w:lang w:val="en-US"/>
              </w:rPr>
              <w:t xml:space="preserve">Presentation of </w:t>
            </w:r>
            <w:r w:rsidR="0064369D">
              <w:rPr>
                <w:sz w:val="20"/>
                <w:szCs w:val="20"/>
                <w:lang w:val="en-US"/>
              </w:rPr>
              <w:t>the F</w:t>
            </w:r>
            <w:r>
              <w:rPr>
                <w:sz w:val="20"/>
                <w:szCs w:val="20"/>
                <w:lang w:val="en-US"/>
              </w:rPr>
              <w:t>indings of the German Marshall Fund Study Team on Climate Change and Migration</w:t>
            </w:r>
          </w:p>
          <w:p w:rsidR="009F1E3C" w:rsidRDefault="009F1E3C" w:rsidP="007B5332">
            <w:pPr>
              <w:rPr>
                <w:sz w:val="20"/>
                <w:szCs w:val="20"/>
                <w:lang w:val="en-US"/>
              </w:rPr>
            </w:pPr>
          </w:p>
          <w:p w:rsidR="00E1684E" w:rsidRDefault="00E1684E" w:rsidP="007B5332">
            <w:pPr>
              <w:rPr>
                <w:sz w:val="20"/>
                <w:szCs w:val="20"/>
                <w:lang w:val="en-US"/>
              </w:rPr>
            </w:pPr>
            <w:r>
              <w:rPr>
                <w:sz w:val="20"/>
                <w:szCs w:val="20"/>
                <w:lang w:val="en-US"/>
              </w:rPr>
              <w:t xml:space="preserve">Response to the </w:t>
            </w:r>
            <w:r w:rsidR="00861AAF">
              <w:rPr>
                <w:sz w:val="20"/>
                <w:szCs w:val="20"/>
                <w:lang w:val="en-US"/>
              </w:rPr>
              <w:t>findings of the German Marshall Fund Study Team on Climate Change and Migration</w:t>
            </w:r>
            <w:r>
              <w:rPr>
                <w:sz w:val="20"/>
                <w:szCs w:val="20"/>
                <w:lang w:val="en-US"/>
              </w:rPr>
              <w:t xml:space="preserve"> from </w:t>
            </w:r>
            <w:r w:rsidR="00861AAF">
              <w:rPr>
                <w:sz w:val="20"/>
                <w:szCs w:val="20"/>
                <w:lang w:val="en-US"/>
              </w:rPr>
              <w:t>a civil society</w:t>
            </w:r>
            <w:r>
              <w:rPr>
                <w:sz w:val="20"/>
                <w:szCs w:val="20"/>
                <w:lang w:val="en-US"/>
              </w:rPr>
              <w:t xml:space="preserve"> perspective</w:t>
            </w:r>
          </w:p>
          <w:p w:rsidR="00E1684E" w:rsidRDefault="00E1684E" w:rsidP="007B5332">
            <w:pPr>
              <w:rPr>
                <w:sz w:val="20"/>
                <w:szCs w:val="20"/>
                <w:lang w:val="en-US"/>
              </w:rPr>
            </w:pPr>
          </w:p>
          <w:p w:rsidR="00042793" w:rsidRPr="0096572B" w:rsidRDefault="00734E43" w:rsidP="00697ACC">
            <w:pPr>
              <w:rPr>
                <w:sz w:val="20"/>
                <w:szCs w:val="20"/>
                <w:lang w:val="en-GB"/>
              </w:rPr>
            </w:pPr>
            <w:r>
              <w:rPr>
                <w:sz w:val="20"/>
                <w:szCs w:val="20"/>
                <w:lang w:val="en-US"/>
              </w:rPr>
              <w:t>Reflections on</w:t>
            </w:r>
            <w:r w:rsidR="009F1E3C">
              <w:rPr>
                <w:sz w:val="20"/>
                <w:szCs w:val="20"/>
                <w:lang w:val="en-US"/>
              </w:rPr>
              <w:t xml:space="preserve"> the </w:t>
            </w:r>
            <w:r w:rsidR="00697ACC">
              <w:rPr>
                <w:sz w:val="20"/>
                <w:szCs w:val="20"/>
                <w:lang w:val="en-US"/>
              </w:rPr>
              <w:t xml:space="preserve">Study Team findings </w:t>
            </w:r>
            <w:r w:rsidR="009F1E3C">
              <w:rPr>
                <w:sz w:val="20"/>
                <w:szCs w:val="20"/>
                <w:lang w:val="en-US"/>
              </w:rPr>
              <w:t xml:space="preserve">from a </w:t>
            </w:r>
            <w:r w:rsidR="00697ACC">
              <w:rPr>
                <w:sz w:val="20"/>
                <w:szCs w:val="20"/>
                <w:lang w:val="en-US"/>
              </w:rPr>
              <w:t xml:space="preserve">delta´s </w:t>
            </w:r>
            <w:r w:rsidR="009F1E3C">
              <w:rPr>
                <w:sz w:val="20"/>
                <w:szCs w:val="20"/>
                <w:lang w:val="en-US"/>
              </w:rPr>
              <w:t>perspective</w:t>
            </w:r>
          </w:p>
        </w:tc>
      </w:tr>
      <w:tr w:rsidR="005233E6" w:rsidRPr="00F467C7" w:rsidTr="00187BAB">
        <w:trPr>
          <w:trHeight w:val="1951"/>
        </w:trPr>
        <w:tc>
          <w:tcPr>
            <w:tcW w:w="1908" w:type="dxa"/>
            <w:vMerge/>
            <w:vAlign w:val="center"/>
          </w:tcPr>
          <w:p w:rsidR="005233E6" w:rsidRPr="0096572B" w:rsidRDefault="005233E6" w:rsidP="00CC199A">
            <w:pPr>
              <w:jc w:val="center"/>
              <w:rPr>
                <w:b/>
                <w:bCs/>
                <w:sz w:val="20"/>
                <w:szCs w:val="20"/>
                <w:lang w:val="en-US"/>
              </w:rPr>
            </w:pPr>
          </w:p>
        </w:tc>
        <w:tc>
          <w:tcPr>
            <w:tcW w:w="3420" w:type="dxa"/>
            <w:tcBorders>
              <w:top w:val="nil"/>
              <w:bottom w:val="nil"/>
            </w:tcBorders>
          </w:tcPr>
          <w:p w:rsidR="009F1E3C" w:rsidRDefault="009F1E3C" w:rsidP="00F94787">
            <w:pPr>
              <w:rPr>
                <w:sz w:val="20"/>
                <w:szCs w:val="20"/>
                <w:lang w:val="en-US"/>
              </w:rPr>
            </w:pPr>
          </w:p>
          <w:p w:rsidR="005233E6" w:rsidRDefault="009F1E3C" w:rsidP="009F1E3C">
            <w:pPr>
              <w:rPr>
                <w:sz w:val="20"/>
                <w:szCs w:val="20"/>
                <w:lang w:val="en-GB"/>
              </w:rPr>
            </w:pPr>
            <w:r w:rsidRPr="007B5332">
              <w:rPr>
                <w:sz w:val="20"/>
                <w:szCs w:val="20"/>
                <w:lang w:val="en-GB"/>
              </w:rPr>
              <w:t xml:space="preserve">Representative of </w:t>
            </w:r>
            <w:r w:rsidR="00734E43">
              <w:rPr>
                <w:b/>
                <w:sz w:val="20"/>
                <w:szCs w:val="20"/>
                <w:lang w:val="en-GB"/>
              </w:rPr>
              <w:t>Senegal</w:t>
            </w:r>
          </w:p>
          <w:p w:rsidR="00035734" w:rsidRDefault="00035734" w:rsidP="009F1E3C">
            <w:pPr>
              <w:rPr>
                <w:sz w:val="20"/>
                <w:szCs w:val="20"/>
                <w:lang w:val="en-GB"/>
              </w:rPr>
            </w:pPr>
          </w:p>
          <w:p w:rsidR="00A618B6" w:rsidRDefault="00A618B6" w:rsidP="009F1E3C">
            <w:pPr>
              <w:rPr>
                <w:sz w:val="20"/>
                <w:szCs w:val="20"/>
                <w:lang w:val="en-GB"/>
              </w:rPr>
            </w:pPr>
          </w:p>
          <w:p w:rsidR="00734E43" w:rsidRDefault="00734E43" w:rsidP="009F1E3C">
            <w:pPr>
              <w:rPr>
                <w:sz w:val="20"/>
                <w:szCs w:val="20"/>
                <w:lang w:val="en-GB"/>
              </w:rPr>
            </w:pPr>
          </w:p>
          <w:p w:rsidR="00035734" w:rsidRPr="00042793" w:rsidRDefault="00734E43" w:rsidP="00187BAB">
            <w:pPr>
              <w:rPr>
                <w:sz w:val="20"/>
                <w:szCs w:val="20"/>
                <w:lang w:val="en-US"/>
              </w:rPr>
            </w:pPr>
            <w:r w:rsidRPr="007B5332">
              <w:rPr>
                <w:sz w:val="20"/>
                <w:szCs w:val="20"/>
                <w:lang w:val="en-GB"/>
              </w:rPr>
              <w:t xml:space="preserve">Representative of </w:t>
            </w:r>
            <w:r>
              <w:rPr>
                <w:b/>
                <w:sz w:val="20"/>
                <w:szCs w:val="20"/>
                <w:lang w:val="en-GB"/>
              </w:rPr>
              <w:t>Mexico</w:t>
            </w:r>
            <w:r w:rsidRPr="007B5332">
              <w:rPr>
                <w:sz w:val="20"/>
                <w:szCs w:val="20"/>
                <w:lang w:val="en-GB"/>
              </w:rPr>
              <w:t xml:space="preserve"> (</w:t>
            </w:r>
            <w:proofErr w:type="spellStart"/>
            <w:r w:rsidRPr="007B5332">
              <w:rPr>
                <w:sz w:val="20"/>
                <w:szCs w:val="20"/>
                <w:lang w:val="en-GB"/>
              </w:rPr>
              <w:t>tbc</w:t>
            </w:r>
            <w:proofErr w:type="spellEnd"/>
            <w:r w:rsidRPr="007B5332">
              <w:rPr>
                <w:sz w:val="20"/>
                <w:szCs w:val="20"/>
                <w:lang w:val="en-GB"/>
              </w:rPr>
              <w:t>)</w:t>
            </w:r>
          </w:p>
        </w:tc>
        <w:tc>
          <w:tcPr>
            <w:tcW w:w="3884" w:type="dxa"/>
            <w:tcBorders>
              <w:top w:val="nil"/>
              <w:bottom w:val="nil"/>
            </w:tcBorders>
          </w:tcPr>
          <w:p w:rsidR="009F1E3C" w:rsidRDefault="009F1E3C" w:rsidP="00B43A37">
            <w:pPr>
              <w:rPr>
                <w:sz w:val="20"/>
                <w:szCs w:val="20"/>
                <w:lang w:val="en-US"/>
              </w:rPr>
            </w:pPr>
          </w:p>
          <w:p w:rsidR="00B43A37" w:rsidRDefault="00697ACC" w:rsidP="00B43A37">
            <w:pPr>
              <w:rPr>
                <w:sz w:val="20"/>
                <w:szCs w:val="20"/>
                <w:lang w:val="en-GB"/>
              </w:rPr>
            </w:pPr>
            <w:r>
              <w:rPr>
                <w:sz w:val="20"/>
                <w:szCs w:val="20"/>
                <w:lang w:val="en-US"/>
              </w:rPr>
              <w:t xml:space="preserve">Reflections on the Study Team findings from a </w:t>
            </w:r>
            <w:proofErr w:type="spellStart"/>
            <w:r>
              <w:rPr>
                <w:sz w:val="20"/>
                <w:szCs w:val="20"/>
                <w:lang w:val="en-US"/>
              </w:rPr>
              <w:t>dryland´s</w:t>
            </w:r>
            <w:proofErr w:type="spellEnd"/>
            <w:r>
              <w:rPr>
                <w:sz w:val="20"/>
                <w:szCs w:val="20"/>
                <w:lang w:val="en-US"/>
              </w:rPr>
              <w:t xml:space="preserve"> perspective</w:t>
            </w:r>
          </w:p>
          <w:p w:rsidR="00734E43" w:rsidRDefault="00734E43" w:rsidP="00B43A37">
            <w:pPr>
              <w:rPr>
                <w:sz w:val="20"/>
                <w:szCs w:val="20"/>
                <w:lang w:val="en-GB"/>
              </w:rPr>
            </w:pPr>
          </w:p>
          <w:p w:rsidR="00734E43" w:rsidRDefault="00734E43" w:rsidP="00B43A37">
            <w:pPr>
              <w:rPr>
                <w:sz w:val="20"/>
                <w:szCs w:val="20"/>
                <w:lang w:val="en-GB"/>
              </w:rPr>
            </w:pPr>
          </w:p>
          <w:p w:rsidR="00734E43" w:rsidRDefault="00697ACC" w:rsidP="00B43A37">
            <w:pPr>
              <w:rPr>
                <w:sz w:val="20"/>
                <w:szCs w:val="20"/>
                <w:lang w:val="en-GB"/>
              </w:rPr>
            </w:pPr>
            <w:r>
              <w:rPr>
                <w:sz w:val="20"/>
                <w:szCs w:val="20"/>
                <w:lang w:val="en-US"/>
              </w:rPr>
              <w:t xml:space="preserve">Reflections on the Study Team findings from a </w:t>
            </w:r>
            <w:proofErr w:type="spellStart"/>
            <w:r>
              <w:rPr>
                <w:sz w:val="20"/>
                <w:szCs w:val="20"/>
                <w:lang w:val="en-US"/>
              </w:rPr>
              <w:t>dryland´s</w:t>
            </w:r>
            <w:proofErr w:type="spellEnd"/>
            <w:r>
              <w:rPr>
                <w:sz w:val="20"/>
                <w:szCs w:val="20"/>
                <w:lang w:val="en-US"/>
              </w:rPr>
              <w:t xml:space="preserve"> perspective</w:t>
            </w:r>
          </w:p>
          <w:p w:rsidR="00290987" w:rsidRPr="00735A36" w:rsidRDefault="00290987" w:rsidP="00187BAB">
            <w:pPr>
              <w:rPr>
                <w:sz w:val="20"/>
                <w:szCs w:val="20"/>
                <w:lang w:val="en-US"/>
              </w:rPr>
            </w:pPr>
          </w:p>
        </w:tc>
      </w:tr>
      <w:tr w:rsidR="00042793" w:rsidRPr="00E0304A" w:rsidTr="00187BAB">
        <w:trPr>
          <w:trHeight w:val="77"/>
        </w:trPr>
        <w:tc>
          <w:tcPr>
            <w:tcW w:w="1908" w:type="dxa"/>
            <w:vMerge/>
            <w:tcBorders>
              <w:bottom w:val="single" w:sz="4" w:space="0" w:color="auto"/>
            </w:tcBorders>
            <w:vAlign w:val="center"/>
          </w:tcPr>
          <w:p w:rsidR="00042793" w:rsidRPr="0096572B" w:rsidRDefault="00042793" w:rsidP="00CC199A">
            <w:pPr>
              <w:jc w:val="center"/>
              <w:rPr>
                <w:b/>
                <w:bCs/>
                <w:sz w:val="20"/>
                <w:szCs w:val="20"/>
                <w:lang w:val="en-US"/>
              </w:rPr>
            </w:pPr>
          </w:p>
        </w:tc>
        <w:tc>
          <w:tcPr>
            <w:tcW w:w="3420" w:type="dxa"/>
            <w:tcBorders>
              <w:top w:val="nil"/>
              <w:bottom w:val="single" w:sz="4" w:space="0" w:color="auto"/>
            </w:tcBorders>
          </w:tcPr>
          <w:p w:rsidR="004D10A2" w:rsidRPr="00042793" w:rsidRDefault="004D10A2" w:rsidP="00734E43">
            <w:pPr>
              <w:rPr>
                <w:sz w:val="20"/>
                <w:szCs w:val="20"/>
                <w:lang w:val="en-US"/>
              </w:rPr>
            </w:pPr>
          </w:p>
        </w:tc>
        <w:tc>
          <w:tcPr>
            <w:tcW w:w="3884" w:type="dxa"/>
            <w:tcBorders>
              <w:top w:val="nil"/>
              <w:bottom w:val="single" w:sz="4" w:space="0" w:color="auto"/>
            </w:tcBorders>
          </w:tcPr>
          <w:p w:rsidR="007B5332" w:rsidRPr="002D1626" w:rsidRDefault="007B5332" w:rsidP="007B5332">
            <w:pPr>
              <w:rPr>
                <w:sz w:val="20"/>
                <w:szCs w:val="20"/>
                <w:lang w:val="en-GB"/>
              </w:rPr>
            </w:pPr>
          </w:p>
        </w:tc>
      </w:tr>
      <w:tr w:rsidR="004D10A2" w:rsidRPr="0096572B" w:rsidTr="002B1DA3">
        <w:trPr>
          <w:trHeight w:val="707"/>
        </w:trPr>
        <w:tc>
          <w:tcPr>
            <w:tcW w:w="1908" w:type="dxa"/>
            <w:tcBorders>
              <w:bottom w:val="single" w:sz="4" w:space="0" w:color="auto"/>
            </w:tcBorders>
            <w:vAlign w:val="center"/>
          </w:tcPr>
          <w:p w:rsidR="004D10A2" w:rsidRPr="0096572B" w:rsidRDefault="007B5332" w:rsidP="00734E43">
            <w:pPr>
              <w:rPr>
                <w:b/>
                <w:bCs/>
                <w:sz w:val="20"/>
                <w:szCs w:val="20"/>
                <w:lang w:val="en-US"/>
              </w:rPr>
            </w:pPr>
            <w:r>
              <w:rPr>
                <w:b/>
                <w:bCs/>
                <w:sz w:val="20"/>
                <w:szCs w:val="20"/>
                <w:lang w:val="en-US"/>
              </w:rPr>
              <w:t>1</w:t>
            </w:r>
            <w:r w:rsidR="00734E43">
              <w:rPr>
                <w:b/>
                <w:bCs/>
                <w:sz w:val="20"/>
                <w:szCs w:val="20"/>
                <w:lang w:val="en-US"/>
              </w:rPr>
              <w:t>8</w:t>
            </w:r>
            <w:r>
              <w:rPr>
                <w:b/>
                <w:bCs/>
                <w:sz w:val="20"/>
                <w:szCs w:val="20"/>
                <w:lang w:val="en-US"/>
              </w:rPr>
              <w:t>:45</w:t>
            </w:r>
            <w:r w:rsidR="004D10A2" w:rsidRPr="002D1626">
              <w:rPr>
                <w:b/>
                <w:bCs/>
                <w:sz w:val="20"/>
                <w:szCs w:val="20"/>
                <w:lang w:val="en-US"/>
              </w:rPr>
              <w:t xml:space="preserve"> –1</w:t>
            </w:r>
            <w:r w:rsidR="00734E43">
              <w:rPr>
                <w:b/>
                <w:bCs/>
                <w:sz w:val="20"/>
                <w:szCs w:val="20"/>
                <w:lang w:val="en-US"/>
              </w:rPr>
              <w:t>9</w:t>
            </w:r>
            <w:r w:rsidR="004D10A2" w:rsidRPr="002D1626">
              <w:rPr>
                <w:b/>
                <w:bCs/>
                <w:sz w:val="20"/>
                <w:szCs w:val="20"/>
                <w:lang w:val="en-US"/>
              </w:rPr>
              <w:t>:</w:t>
            </w:r>
            <w:r w:rsidR="00734E43">
              <w:rPr>
                <w:b/>
                <w:bCs/>
                <w:sz w:val="20"/>
                <w:szCs w:val="20"/>
                <w:lang w:val="en-US"/>
              </w:rPr>
              <w:t>30</w:t>
            </w:r>
          </w:p>
        </w:tc>
        <w:tc>
          <w:tcPr>
            <w:tcW w:w="3420" w:type="dxa"/>
            <w:tcBorders>
              <w:top w:val="nil"/>
              <w:bottom w:val="single" w:sz="4" w:space="0" w:color="auto"/>
            </w:tcBorders>
            <w:vAlign w:val="center"/>
          </w:tcPr>
          <w:p w:rsidR="004D10A2" w:rsidRDefault="002B1DA3" w:rsidP="002B1DA3">
            <w:pPr>
              <w:rPr>
                <w:sz w:val="20"/>
                <w:szCs w:val="20"/>
                <w:lang w:val="en-US"/>
              </w:rPr>
            </w:pPr>
            <w:r w:rsidRPr="0096572B">
              <w:rPr>
                <w:b/>
                <w:bCs/>
                <w:sz w:val="20"/>
                <w:szCs w:val="20"/>
              </w:rPr>
              <w:t>Audience Discussion</w:t>
            </w:r>
          </w:p>
        </w:tc>
        <w:tc>
          <w:tcPr>
            <w:tcW w:w="3884" w:type="dxa"/>
            <w:tcBorders>
              <w:top w:val="nil"/>
              <w:bottom w:val="single" w:sz="4" w:space="0" w:color="auto"/>
            </w:tcBorders>
          </w:tcPr>
          <w:p w:rsidR="004D10A2" w:rsidRDefault="004D10A2" w:rsidP="00CC199A">
            <w:pPr>
              <w:rPr>
                <w:sz w:val="20"/>
                <w:szCs w:val="20"/>
                <w:lang w:val="en-GB"/>
              </w:rPr>
            </w:pPr>
          </w:p>
        </w:tc>
      </w:tr>
    </w:tbl>
    <w:p w:rsidR="00240B3E" w:rsidRDefault="00240B3E" w:rsidP="00B64D98">
      <w:pPr>
        <w:jc w:val="both"/>
        <w:rPr>
          <w:b/>
          <w:bCs/>
          <w:sz w:val="20"/>
          <w:szCs w:val="20"/>
          <w:u w:val="single"/>
          <w:lang w:val="en-US"/>
        </w:rPr>
      </w:pPr>
    </w:p>
    <w:p w:rsidR="00240B3E" w:rsidRDefault="00240B3E" w:rsidP="00B64D98">
      <w:pPr>
        <w:jc w:val="both"/>
        <w:rPr>
          <w:b/>
          <w:bCs/>
          <w:sz w:val="20"/>
          <w:szCs w:val="20"/>
          <w:u w:val="single"/>
          <w:lang w:val="en-US"/>
        </w:rPr>
      </w:pPr>
    </w:p>
    <w:p w:rsidR="00B64D98" w:rsidRDefault="00B64D98" w:rsidP="00B64D98">
      <w:pPr>
        <w:jc w:val="both"/>
        <w:rPr>
          <w:b/>
          <w:bCs/>
          <w:sz w:val="20"/>
          <w:szCs w:val="20"/>
          <w:u w:val="single"/>
          <w:lang w:val="en-US"/>
        </w:rPr>
      </w:pPr>
      <w:r w:rsidRPr="00B64D98">
        <w:rPr>
          <w:b/>
          <w:bCs/>
          <w:sz w:val="20"/>
          <w:szCs w:val="20"/>
          <w:u w:val="single"/>
          <w:lang w:val="en-US"/>
        </w:rPr>
        <w:t xml:space="preserve">About </w:t>
      </w:r>
      <w:r w:rsidR="005C2D73">
        <w:rPr>
          <w:b/>
          <w:bCs/>
          <w:sz w:val="20"/>
          <w:szCs w:val="20"/>
          <w:u w:val="single"/>
          <w:lang w:val="en-US"/>
        </w:rPr>
        <w:t>CCEMA</w:t>
      </w:r>
    </w:p>
    <w:p w:rsidR="005C2D73" w:rsidRPr="00B64D98" w:rsidRDefault="005C2D73" w:rsidP="00B64D98">
      <w:pPr>
        <w:jc w:val="both"/>
        <w:rPr>
          <w:b/>
          <w:bCs/>
          <w:sz w:val="20"/>
          <w:szCs w:val="20"/>
          <w:u w:val="single"/>
          <w:lang w:val="en-US"/>
        </w:rPr>
      </w:pPr>
      <w:r>
        <w:rPr>
          <w:sz w:val="20"/>
          <w:szCs w:val="20"/>
          <w:lang w:val="en-GB"/>
        </w:rPr>
        <w:t>The Climate Change, Environment and Migration Alliance (CCEMA) is a multi-stakeholder global partnership of concerned actors such as international organizations, interested groups of states and representatives of the private sector, the scientific and professional community, and civil society. These actors represent a range of perspectives including environment, migration, development and humanitarian assistance. The Alliance aims to bring migration considerations to the environment, development and climate change agendas and vice versa. CCEMA pursues this objective through a combination of awareness raising, research, policy development and practical actions.</w:t>
      </w:r>
    </w:p>
    <w:sectPr w:rsidR="005C2D73" w:rsidRPr="00B64D98" w:rsidSect="0076126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0A3" w:rsidRDefault="00F550A3">
      <w:r>
        <w:separator/>
      </w:r>
    </w:p>
  </w:endnote>
  <w:endnote w:type="continuationSeparator" w:id="0">
    <w:p w:rsidR="00F550A3" w:rsidRDefault="00F55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22" w:rsidRPr="00176277" w:rsidRDefault="00677522" w:rsidP="00176277">
    <w:pPr>
      <w:jc w:val="center"/>
      <w:rPr>
        <w:rFonts w:cs="Arial"/>
        <w:b/>
        <w:sz w:val="18"/>
        <w:szCs w:val="18"/>
        <w:lang w:val="en-GB"/>
      </w:rPr>
    </w:pPr>
    <w:r w:rsidRPr="00853004">
      <w:rPr>
        <w:b/>
        <w:sz w:val="18"/>
        <w:szCs w:val="18"/>
        <w:lang w:val="en-US"/>
      </w:rPr>
      <w:t>Contact</w:t>
    </w:r>
    <w:r w:rsidRPr="00176277">
      <w:rPr>
        <w:b/>
        <w:i/>
        <w:sz w:val="18"/>
        <w:szCs w:val="18"/>
        <w:lang w:val="en-US"/>
      </w:rPr>
      <w:t>:</w:t>
    </w:r>
    <w:r w:rsidRPr="00176277">
      <w:rPr>
        <w:sz w:val="18"/>
        <w:szCs w:val="18"/>
        <w:lang w:val="en-US"/>
      </w:rPr>
      <w:t xml:space="preserve"> Koko Warner (</w:t>
    </w:r>
    <w:hyperlink r:id="rId1" w:history="1">
      <w:r w:rsidRPr="00176277">
        <w:rPr>
          <w:rStyle w:val="Hyperlink"/>
          <w:sz w:val="18"/>
          <w:szCs w:val="18"/>
          <w:lang w:val="en-US"/>
        </w:rPr>
        <w:t>warner@ehs.unu.edu</w:t>
      </w:r>
    </w:hyperlink>
    <w:r w:rsidRPr="00176277">
      <w:rPr>
        <w:sz w:val="18"/>
        <w:szCs w:val="18"/>
        <w:lang w:val="en-US"/>
      </w:rPr>
      <w:t>)</w:t>
    </w:r>
    <w:r w:rsidR="001A28C8" w:rsidRPr="00176277">
      <w:rPr>
        <w:rFonts w:cs="Arial"/>
        <w:b/>
        <w:sz w:val="18"/>
        <w:szCs w:val="18"/>
        <w:lang w:val="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0A3" w:rsidRDefault="00F550A3">
      <w:r>
        <w:separator/>
      </w:r>
    </w:p>
  </w:footnote>
  <w:footnote w:type="continuationSeparator" w:id="0">
    <w:p w:rsidR="00F550A3" w:rsidRDefault="00F5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FC74C1" w:rsidTr="00FC74C1">
      <w:tc>
        <w:tcPr>
          <w:tcW w:w="4644" w:type="dxa"/>
        </w:tcPr>
        <w:p w:rsidR="00FC74C1" w:rsidRDefault="00FC74C1" w:rsidP="00EA1F2E">
          <w:pPr>
            <w:pStyle w:val="Header"/>
            <w:rPr>
              <w:szCs w:val="18"/>
            </w:rPr>
          </w:pPr>
          <w:r>
            <w:rPr>
              <w:noProof/>
              <w:szCs w:val="18"/>
              <w:lang w:val="en-US" w:eastAsia="en-US"/>
            </w:rPr>
            <w:drawing>
              <wp:anchor distT="0" distB="0" distL="114300" distR="114300" simplePos="0" relativeHeight="251658240" behindDoc="0" locked="0" layoutInCell="1" allowOverlap="1">
                <wp:simplePos x="0" y="0"/>
                <wp:positionH relativeFrom="column">
                  <wp:posOffset>-264057</wp:posOffset>
                </wp:positionH>
                <wp:positionV relativeFrom="paragraph">
                  <wp:posOffset>-151868</wp:posOffset>
                </wp:positionV>
                <wp:extent cx="2575294" cy="87187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75294" cy="871870"/>
                        </a:xfrm>
                        <a:prstGeom prst="rect">
                          <a:avLst/>
                        </a:prstGeom>
                        <a:noFill/>
                      </pic:spPr>
                    </pic:pic>
                  </a:graphicData>
                </a:graphic>
              </wp:anchor>
            </w:drawing>
          </w:r>
        </w:p>
      </w:tc>
      <w:tc>
        <w:tcPr>
          <w:tcW w:w="4644" w:type="dxa"/>
        </w:tcPr>
        <w:p w:rsidR="001D3837" w:rsidRDefault="001D3837" w:rsidP="00FC74C1">
          <w:pPr>
            <w:jc w:val="right"/>
            <w:rPr>
              <w:sz w:val="20"/>
              <w:szCs w:val="20"/>
            </w:rPr>
          </w:pPr>
        </w:p>
        <w:p w:rsidR="001D3837" w:rsidRDefault="001D3837" w:rsidP="00FC74C1">
          <w:pPr>
            <w:jc w:val="right"/>
            <w:rPr>
              <w:sz w:val="20"/>
              <w:szCs w:val="20"/>
            </w:rPr>
          </w:pPr>
        </w:p>
        <w:p w:rsidR="00FC74C1" w:rsidRDefault="00FC74C1" w:rsidP="00FC74C1">
          <w:pPr>
            <w:jc w:val="right"/>
            <w:rPr>
              <w:sz w:val="20"/>
              <w:szCs w:val="20"/>
            </w:rPr>
          </w:pPr>
          <w:r>
            <w:rPr>
              <w:noProof/>
              <w:sz w:val="20"/>
              <w:szCs w:val="20"/>
              <w:lang w:val="en-US" w:eastAsia="en-US"/>
            </w:rPr>
            <w:drawing>
              <wp:inline distT="0" distB="0" distL="0" distR="0">
                <wp:extent cx="1971675" cy="290959"/>
                <wp:effectExtent l="19050" t="0" r="9525"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srcRect/>
                        <a:stretch>
                          <a:fillRect/>
                        </a:stretch>
                      </pic:blipFill>
                      <pic:spPr bwMode="auto">
                        <a:xfrm>
                          <a:off x="0" y="0"/>
                          <a:ext cx="1971675" cy="290959"/>
                        </a:xfrm>
                        <a:prstGeom prst="rect">
                          <a:avLst/>
                        </a:prstGeom>
                        <a:noFill/>
                        <a:ln w="9525">
                          <a:noFill/>
                          <a:miter lim="800000"/>
                          <a:headEnd/>
                          <a:tailEnd/>
                        </a:ln>
                      </pic:spPr>
                    </pic:pic>
                  </a:graphicData>
                </a:graphic>
              </wp:inline>
            </w:drawing>
          </w:r>
        </w:p>
        <w:p w:rsidR="00FC74C1" w:rsidRDefault="00FC74C1" w:rsidP="00FC74C1">
          <w:pPr>
            <w:pStyle w:val="Header"/>
            <w:jc w:val="right"/>
            <w:rPr>
              <w:szCs w:val="18"/>
            </w:rPr>
          </w:pPr>
          <w:r>
            <w:rPr>
              <w:noProof/>
              <w:sz w:val="20"/>
              <w:szCs w:val="20"/>
              <w:lang w:val="en-US" w:eastAsia="en-US"/>
            </w:rPr>
            <w:drawing>
              <wp:inline distT="0" distB="0" distL="0" distR="0">
                <wp:extent cx="2476500" cy="111981"/>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cstate="print"/>
                        <a:srcRect/>
                        <a:stretch>
                          <a:fillRect/>
                        </a:stretch>
                      </pic:blipFill>
                      <pic:spPr bwMode="auto">
                        <a:xfrm>
                          <a:off x="0" y="0"/>
                          <a:ext cx="2476239" cy="111969"/>
                        </a:xfrm>
                        <a:prstGeom prst="rect">
                          <a:avLst/>
                        </a:prstGeom>
                        <a:noFill/>
                        <a:ln w="9525">
                          <a:noFill/>
                          <a:miter lim="800000"/>
                          <a:headEnd/>
                          <a:tailEnd/>
                        </a:ln>
                      </pic:spPr>
                    </pic:pic>
                  </a:graphicData>
                </a:graphic>
              </wp:inline>
            </w:drawing>
          </w:r>
        </w:p>
      </w:tc>
    </w:tr>
  </w:tbl>
  <w:p w:rsidR="00677522" w:rsidRDefault="00677522" w:rsidP="00EA1F2E">
    <w:pPr>
      <w:pStyle w:val="Header"/>
      <w:rPr>
        <w:szCs w:val="18"/>
      </w:rPr>
    </w:pPr>
    <w:r w:rsidRPr="00EA1F2E">
      <w:rPr>
        <w:szCs w:val="18"/>
      </w:rPr>
      <w:t xml:space="preserve"> </w:t>
    </w:r>
  </w:p>
  <w:p w:rsidR="00FC74C1" w:rsidRDefault="00FC74C1" w:rsidP="00EA1F2E">
    <w:pPr>
      <w:pStyle w:val="Header"/>
      <w:rPr>
        <w:szCs w:val="18"/>
      </w:rPr>
    </w:pPr>
  </w:p>
  <w:p w:rsidR="00FC74C1" w:rsidRPr="00EA1F2E" w:rsidRDefault="00FC74C1" w:rsidP="00EA1F2E">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7EC"/>
    <w:multiLevelType w:val="hybridMultilevel"/>
    <w:tmpl w:val="1EFC2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D258CA"/>
    <w:multiLevelType w:val="hybridMultilevel"/>
    <w:tmpl w:val="31E8F528"/>
    <w:lvl w:ilvl="0" w:tplc="0409000F">
      <w:start w:val="1"/>
      <w:numFmt w:val="decimal"/>
      <w:lvlText w:val="%1."/>
      <w:lvlJc w:val="left"/>
      <w:pPr>
        <w:ind w:left="1740" w:hanging="9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
  <w:rsids>
    <w:rsidRoot w:val="00D52B46"/>
    <w:rsid w:val="00035734"/>
    <w:rsid w:val="00035DC2"/>
    <w:rsid w:val="00042793"/>
    <w:rsid w:val="00043195"/>
    <w:rsid w:val="00063D08"/>
    <w:rsid w:val="000C3200"/>
    <w:rsid w:val="000D265E"/>
    <w:rsid w:val="000E1E23"/>
    <w:rsid w:val="0012092B"/>
    <w:rsid w:val="00155D7D"/>
    <w:rsid w:val="001748B0"/>
    <w:rsid w:val="00176277"/>
    <w:rsid w:val="00187BAB"/>
    <w:rsid w:val="0019042E"/>
    <w:rsid w:val="00191285"/>
    <w:rsid w:val="001A28C8"/>
    <w:rsid w:val="001C6EBE"/>
    <w:rsid w:val="001D327F"/>
    <w:rsid w:val="001D3837"/>
    <w:rsid w:val="001F0EC9"/>
    <w:rsid w:val="00210965"/>
    <w:rsid w:val="002145C3"/>
    <w:rsid w:val="00240B3E"/>
    <w:rsid w:val="00246EEA"/>
    <w:rsid w:val="002659CE"/>
    <w:rsid w:val="002826DA"/>
    <w:rsid w:val="00290987"/>
    <w:rsid w:val="002B1DA3"/>
    <w:rsid w:val="002B6A95"/>
    <w:rsid w:val="002D1626"/>
    <w:rsid w:val="002E2112"/>
    <w:rsid w:val="003429A8"/>
    <w:rsid w:val="003629F7"/>
    <w:rsid w:val="00362C13"/>
    <w:rsid w:val="00366ADE"/>
    <w:rsid w:val="003672B8"/>
    <w:rsid w:val="00387BE0"/>
    <w:rsid w:val="003B3961"/>
    <w:rsid w:val="003D5E79"/>
    <w:rsid w:val="003D6348"/>
    <w:rsid w:val="00402169"/>
    <w:rsid w:val="0043676E"/>
    <w:rsid w:val="00443AC2"/>
    <w:rsid w:val="00451F47"/>
    <w:rsid w:val="00477565"/>
    <w:rsid w:val="00497225"/>
    <w:rsid w:val="004B5005"/>
    <w:rsid w:val="004C55BF"/>
    <w:rsid w:val="004D10A2"/>
    <w:rsid w:val="004D6934"/>
    <w:rsid w:val="004E2A08"/>
    <w:rsid w:val="005233E6"/>
    <w:rsid w:val="005277D9"/>
    <w:rsid w:val="005315EB"/>
    <w:rsid w:val="00543868"/>
    <w:rsid w:val="00567C73"/>
    <w:rsid w:val="005C2D73"/>
    <w:rsid w:val="005F2CE7"/>
    <w:rsid w:val="00613064"/>
    <w:rsid w:val="00637AAB"/>
    <w:rsid w:val="0064369D"/>
    <w:rsid w:val="00643E7B"/>
    <w:rsid w:val="00645DCF"/>
    <w:rsid w:val="00652518"/>
    <w:rsid w:val="00667C7A"/>
    <w:rsid w:val="00677522"/>
    <w:rsid w:val="00687BFD"/>
    <w:rsid w:val="00691020"/>
    <w:rsid w:val="00694EC7"/>
    <w:rsid w:val="00697ACC"/>
    <w:rsid w:val="006C507E"/>
    <w:rsid w:val="006C6A46"/>
    <w:rsid w:val="006E4864"/>
    <w:rsid w:val="00734E43"/>
    <w:rsid w:val="00735A36"/>
    <w:rsid w:val="007505D9"/>
    <w:rsid w:val="0076126A"/>
    <w:rsid w:val="007829ED"/>
    <w:rsid w:val="00786590"/>
    <w:rsid w:val="00787E29"/>
    <w:rsid w:val="007A1DC4"/>
    <w:rsid w:val="007A4DC7"/>
    <w:rsid w:val="007A6ABF"/>
    <w:rsid w:val="007B5332"/>
    <w:rsid w:val="0082696D"/>
    <w:rsid w:val="00853004"/>
    <w:rsid w:val="00861AAF"/>
    <w:rsid w:val="00861D79"/>
    <w:rsid w:val="00887B28"/>
    <w:rsid w:val="008934F1"/>
    <w:rsid w:val="008E0DDC"/>
    <w:rsid w:val="00907614"/>
    <w:rsid w:val="009249FE"/>
    <w:rsid w:val="00941E4A"/>
    <w:rsid w:val="0096572B"/>
    <w:rsid w:val="009C7E3B"/>
    <w:rsid w:val="009F1E3C"/>
    <w:rsid w:val="009F2DE2"/>
    <w:rsid w:val="009F6979"/>
    <w:rsid w:val="00A05FBC"/>
    <w:rsid w:val="00A218F9"/>
    <w:rsid w:val="00A40296"/>
    <w:rsid w:val="00A618B6"/>
    <w:rsid w:val="00A849F6"/>
    <w:rsid w:val="00AC04B7"/>
    <w:rsid w:val="00AC2F65"/>
    <w:rsid w:val="00B22591"/>
    <w:rsid w:val="00B43A37"/>
    <w:rsid w:val="00B55130"/>
    <w:rsid w:val="00B63DC4"/>
    <w:rsid w:val="00B64D98"/>
    <w:rsid w:val="00B976D7"/>
    <w:rsid w:val="00BB2BCC"/>
    <w:rsid w:val="00BC5C97"/>
    <w:rsid w:val="00BD03EE"/>
    <w:rsid w:val="00C22F7D"/>
    <w:rsid w:val="00C32470"/>
    <w:rsid w:val="00C63C3B"/>
    <w:rsid w:val="00C81E2E"/>
    <w:rsid w:val="00C94C14"/>
    <w:rsid w:val="00CC199A"/>
    <w:rsid w:val="00CD262D"/>
    <w:rsid w:val="00CD3314"/>
    <w:rsid w:val="00CD5795"/>
    <w:rsid w:val="00CE27D0"/>
    <w:rsid w:val="00CF48B0"/>
    <w:rsid w:val="00CF6CF9"/>
    <w:rsid w:val="00D1136D"/>
    <w:rsid w:val="00D14281"/>
    <w:rsid w:val="00D21467"/>
    <w:rsid w:val="00D31005"/>
    <w:rsid w:val="00D52B46"/>
    <w:rsid w:val="00D74E9E"/>
    <w:rsid w:val="00E0304A"/>
    <w:rsid w:val="00E032C9"/>
    <w:rsid w:val="00E136A1"/>
    <w:rsid w:val="00E1684E"/>
    <w:rsid w:val="00E22CB8"/>
    <w:rsid w:val="00E42FF0"/>
    <w:rsid w:val="00E568F5"/>
    <w:rsid w:val="00E64E36"/>
    <w:rsid w:val="00E94F8B"/>
    <w:rsid w:val="00EA1F2E"/>
    <w:rsid w:val="00EC620F"/>
    <w:rsid w:val="00F27328"/>
    <w:rsid w:val="00F35146"/>
    <w:rsid w:val="00F467C7"/>
    <w:rsid w:val="00F550A3"/>
    <w:rsid w:val="00F610AB"/>
    <w:rsid w:val="00F94787"/>
    <w:rsid w:val="00FC74C1"/>
    <w:rsid w:val="00FF6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26A"/>
    <w:rPr>
      <w:rFonts w:ascii="Arial" w:hAnsi="Arial"/>
      <w:sz w:val="24"/>
      <w:szCs w:val="24"/>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0E1E23"/>
  </w:style>
  <w:style w:type="paragraph" w:styleId="Header">
    <w:name w:val="header"/>
    <w:basedOn w:val="Normal"/>
    <w:rsid w:val="00D52B46"/>
    <w:pPr>
      <w:tabs>
        <w:tab w:val="center" w:pos="4153"/>
        <w:tab w:val="right" w:pos="8306"/>
      </w:tabs>
    </w:pPr>
  </w:style>
  <w:style w:type="paragraph" w:styleId="Footer">
    <w:name w:val="footer"/>
    <w:basedOn w:val="Normal"/>
    <w:rsid w:val="00D52B46"/>
    <w:pPr>
      <w:tabs>
        <w:tab w:val="center" w:pos="4153"/>
        <w:tab w:val="right" w:pos="8306"/>
      </w:tabs>
    </w:pPr>
  </w:style>
  <w:style w:type="character" w:styleId="Hyperlink">
    <w:name w:val="Hyperlink"/>
    <w:basedOn w:val="DefaultParagraphFont"/>
    <w:rsid w:val="005277D9"/>
    <w:rPr>
      <w:color w:val="0000FF"/>
      <w:u w:val="single"/>
    </w:rPr>
  </w:style>
  <w:style w:type="table" w:styleId="TableGrid">
    <w:name w:val="Table Grid"/>
    <w:basedOn w:val="TableNormal"/>
    <w:rsid w:val="00527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sid w:val="00907614"/>
    <w:rPr>
      <w:vertAlign w:val="superscript"/>
    </w:rPr>
  </w:style>
  <w:style w:type="character" w:styleId="Emphasis">
    <w:name w:val="Emphasis"/>
    <w:basedOn w:val="DefaultParagraphFont"/>
    <w:qFormat/>
    <w:rsid w:val="00FC74C1"/>
    <w:rPr>
      <w:i/>
      <w:iCs/>
    </w:rPr>
  </w:style>
  <w:style w:type="paragraph" w:styleId="BalloonText">
    <w:name w:val="Balloon Text"/>
    <w:basedOn w:val="Normal"/>
    <w:link w:val="BalloonTextChar"/>
    <w:rsid w:val="00FC74C1"/>
    <w:rPr>
      <w:rFonts w:ascii="Tahoma" w:hAnsi="Tahoma" w:cs="Tahoma"/>
      <w:sz w:val="16"/>
      <w:szCs w:val="16"/>
    </w:rPr>
  </w:style>
  <w:style w:type="character" w:customStyle="1" w:styleId="BalloonTextChar">
    <w:name w:val="Balloon Text Char"/>
    <w:basedOn w:val="DefaultParagraphFont"/>
    <w:link w:val="BalloonText"/>
    <w:rsid w:val="00FC74C1"/>
    <w:rPr>
      <w:rFonts w:ascii="Tahoma" w:hAnsi="Tahoma" w:cs="Tahoma"/>
      <w:sz w:val="16"/>
      <w:szCs w:val="16"/>
      <w:lang w:val="de-DE" w:eastAsia="zh-CN"/>
    </w:rPr>
  </w:style>
  <w:style w:type="paragraph" w:styleId="ListParagraph">
    <w:name w:val="List Paragraph"/>
    <w:basedOn w:val="Normal"/>
    <w:uiPriority w:val="34"/>
    <w:qFormat/>
    <w:rsid w:val="00AC2F65"/>
    <w:pPr>
      <w:spacing w:line="360" w:lineRule="auto"/>
      <w:ind w:left="720"/>
      <w:contextualSpacing/>
    </w:pPr>
    <w:rPr>
      <w:rFonts w:ascii="Times New Roman" w:eastAsia="Calibri" w:hAnsi="Times New Roman"/>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s.unu.edu/article/read/gm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hs.unu.edu/article/read/summer-acade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mfus.org/cs/publications/publication_view?publication.id=65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arner@ehs.unu.ed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Bonn Climate Change Talks (01-12 June 2009)</vt:lpstr>
    </vt:vector>
  </TitlesOfParts>
  <Company>UNU</Company>
  <LinksUpToDate>false</LinksUpToDate>
  <CharactersWithSpaces>4556</CharactersWithSpaces>
  <SharedDoc>false</SharedDoc>
  <HLinks>
    <vt:vector size="12" baseType="variant">
      <vt:variant>
        <vt:i4>5111885</vt:i4>
      </vt:variant>
      <vt:variant>
        <vt:i4>3</vt:i4>
      </vt:variant>
      <vt:variant>
        <vt:i4>0</vt:i4>
      </vt:variant>
      <vt:variant>
        <vt:i4>5</vt:i4>
      </vt:variant>
      <vt:variant>
        <vt:lpwstr>http://www.climate-insurance.org/</vt:lpwstr>
      </vt:variant>
      <vt:variant>
        <vt:lpwstr/>
      </vt:variant>
      <vt:variant>
        <vt:i4>2097220</vt:i4>
      </vt:variant>
      <vt:variant>
        <vt:i4>0</vt:i4>
      </vt:variant>
      <vt:variant>
        <vt:i4>0</vt:i4>
      </vt:variant>
      <vt:variant>
        <vt:i4>5</vt:i4>
      </vt:variant>
      <vt:variant>
        <vt:lpwstr>mailto:warner@ehs.unu.edu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 Climate Change Talks (01-12 June 2009)</dc:title>
  <dc:subject/>
  <dc:creator>zissener</dc:creator>
  <cp:keywords/>
  <dc:description/>
  <cp:lastModifiedBy>warner</cp:lastModifiedBy>
  <cp:revision>2</cp:revision>
  <dcterms:created xsi:type="dcterms:W3CDTF">2010-10-05T01:47:00Z</dcterms:created>
  <dcterms:modified xsi:type="dcterms:W3CDTF">2010-10-05T01:47:00Z</dcterms:modified>
</cp:coreProperties>
</file>