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46" w:rsidRDefault="00BC5C97" w:rsidP="00787E29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Tianjin </w:t>
      </w:r>
      <w:r w:rsidR="006C6A46" w:rsidRPr="00D14281">
        <w:rPr>
          <w:b/>
          <w:bCs/>
          <w:lang w:val="en-GB"/>
        </w:rPr>
        <w:t>Climate Change Talks (0</w:t>
      </w:r>
      <w:r>
        <w:rPr>
          <w:b/>
          <w:bCs/>
          <w:lang w:val="en-GB"/>
        </w:rPr>
        <w:t>4</w:t>
      </w:r>
      <w:r w:rsidR="006C6A46" w:rsidRPr="00D14281">
        <w:rPr>
          <w:b/>
          <w:bCs/>
          <w:lang w:val="en-GB"/>
        </w:rPr>
        <w:t>-</w:t>
      </w:r>
      <w:r w:rsidR="002B6A95">
        <w:rPr>
          <w:b/>
          <w:bCs/>
          <w:lang w:val="en-GB"/>
        </w:rPr>
        <w:t>0</w:t>
      </w:r>
      <w:r>
        <w:rPr>
          <w:b/>
          <w:bCs/>
          <w:lang w:val="en-GB"/>
        </w:rPr>
        <w:t>9</w:t>
      </w:r>
      <w:r w:rsidR="006C6A46" w:rsidRPr="00D14281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October </w:t>
      </w:r>
      <w:r w:rsidR="006C6A46" w:rsidRPr="00D14281">
        <w:rPr>
          <w:b/>
          <w:bCs/>
          <w:lang w:val="en-GB"/>
        </w:rPr>
        <w:t>20</w:t>
      </w:r>
      <w:r w:rsidR="002B6A95">
        <w:rPr>
          <w:b/>
          <w:bCs/>
          <w:lang w:val="en-GB"/>
        </w:rPr>
        <w:t>1</w:t>
      </w:r>
      <w:r w:rsidR="006C6A46" w:rsidRPr="00D14281">
        <w:rPr>
          <w:b/>
          <w:bCs/>
          <w:lang w:val="en-GB"/>
        </w:rPr>
        <w:t>0)</w:t>
      </w:r>
    </w:p>
    <w:p w:rsidR="000D5231" w:rsidRPr="00D14281" w:rsidRDefault="000D5231" w:rsidP="00787E29">
      <w:pPr>
        <w:jc w:val="center"/>
        <w:rPr>
          <w:b/>
          <w:bCs/>
          <w:lang w:val="en-GB"/>
        </w:rPr>
      </w:pPr>
    </w:p>
    <w:p w:rsidR="000E1E23" w:rsidRPr="000D5231" w:rsidRDefault="00787E29" w:rsidP="00787E29">
      <w:pPr>
        <w:jc w:val="center"/>
        <w:rPr>
          <w:b/>
          <w:bCs/>
          <w:sz w:val="36"/>
          <w:szCs w:val="36"/>
          <w:lang w:val="en-GB"/>
        </w:rPr>
      </w:pPr>
      <w:r w:rsidRPr="000D5231">
        <w:rPr>
          <w:b/>
          <w:bCs/>
          <w:sz w:val="36"/>
          <w:szCs w:val="36"/>
          <w:lang w:val="en-GB"/>
        </w:rPr>
        <w:t>MCII side event</w:t>
      </w:r>
      <w:r w:rsidR="006C6A46" w:rsidRPr="000D5231">
        <w:rPr>
          <w:b/>
          <w:bCs/>
          <w:sz w:val="36"/>
          <w:szCs w:val="36"/>
          <w:lang w:val="en-GB"/>
        </w:rPr>
        <w:t>:</w:t>
      </w:r>
    </w:p>
    <w:p w:rsidR="00477565" w:rsidRPr="000D5231" w:rsidRDefault="00477565" w:rsidP="00787E29">
      <w:pPr>
        <w:jc w:val="center"/>
        <w:rPr>
          <w:b/>
          <w:bCs/>
          <w:sz w:val="36"/>
          <w:szCs w:val="36"/>
          <w:lang w:val="en-GB"/>
        </w:rPr>
      </w:pPr>
    </w:p>
    <w:p w:rsidR="00787E29" w:rsidRPr="000D5231" w:rsidRDefault="00063D08" w:rsidP="002B6A95">
      <w:pPr>
        <w:jc w:val="center"/>
        <w:rPr>
          <w:b/>
          <w:bCs/>
          <w:sz w:val="52"/>
          <w:szCs w:val="52"/>
          <w:lang w:val="en-GB"/>
        </w:rPr>
      </w:pPr>
      <w:r w:rsidRPr="000D5231">
        <w:rPr>
          <w:b/>
          <w:bCs/>
          <w:sz w:val="52"/>
          <w:szCs w:val="52"/>
          <w:lang w:val="en-GB"/>
        </w:rPr>
        <w:t xml:space="preserve">The </w:t>
      </w:r>
      <w:r w:rsidR="00191285" w:rsidRPr="000D5231">
        <w:rPr>
          <w:b/>
          <w:bCs/>
          <w:sz w:val="52"/>
          <w:szCs w:val="52"/>
          <w:lang w:val="en-GB"/>
        </w:rPr>
        <w:t xml:space="preserve">Global </w:t>
      </w:r>
      <w:r w:rsidRPr="000D5231">
        <w:rPr>
          <w:b/>
          <w:bCs/>
          <w:sz w:val="52"/>
          <w:szCs w:val="52"/>
          <w:lang w:val="en-GB"/>
        </w:rPr>
        <w:t>Insurance Sector, Government &amp; Adaption in Developing Countries</w:t>
      </w:r>
    </w:p>
    <w:p w:rsidR="00477565" w:rsidRDefault="00477565">
      <w:pPr>
        <w:rPr>
          <w:sz w:val="36"/>
          <w:szCs w:val="36"/>
          <w:lang w:val="en-GB"/>
        </w:rPr>
      </w:pPr>
    </w:p>
    <w:p w:rsidR="000D5231" w:rsidRPr="000D5231" w:rsidRDefault="000D5231">
      <w:pPr>
        <w:rPr>
          <w:sz w:val="36"/>
          <w:szCs w:val="36"/>
          <w:lang w:val="en-GB"/>
        </w:rPr>
      </w:pPr>
    </w:p>
    <w:p w:rsidR="008934F1" w:rsidRPr="000D5231" w:rsidRDefault="00BC5C97" w:rsidP="000D5231">
      <w:pPr>
        <w:ind w:left="2070" w:hanging="2070"/>
        <w:rPr>
          <w:sz w:val="36"/>
          <w:szCs w:val="36"/>
          <w:lang w:val="en-US"/>
        </w:rPr>
      </w:pPr>
      <w:r w:rsidRPr="000D5231">
        <w:rPr>
          <w:sz w:val="36"/>
          <w:szCs w:val="36"/>
          <w:lang w:val="en-US"/>
        </w:rPr>
        <w:t>S</w:t>
      </w:r>
      <w:r w:rsidR="005277D9" w:rsidRPr="000D5231">
        <w:rPr>
          <w:sz w:val="36"/>
          <w:szCs w:val="36"/>
          <w:lang w:val="en-US"/>
        </w:rPr>
        <w:t>peakers:</w:t>
      </w:r>
      <w:r w:rsidRPr="000D5231">
        <w:rPr>
          <w:sz w:val="36"/>
          <w:szCs w:val="36"/>
          <w:lang w:val="en-US"/>
        </w:rPr>
        <w:tab/>
      </w:r>
      <w:r w:rsidR="00F467C7" w:rsidRPr="000D5231">
        <w:rPr>
          <w:sz w:val="36"/>
          <w:szCs w:val="36"/>
          <w:lang w:val="en-US"/>
        </w:rPr>
        <w:t>Invited delegates from the US</w:t>
      </w:r>
      <w:r w:rsidR="00694EC7" w:rsidRPr="000D5231">
        <w:rPr>
          <w:sz w:val="36"/>
          <w:szCs w:val="36"/>
          <w:lang w:val="en-US"/>
        </w:rPr>
        <w:t>A and</w:t>
      </w:r>
      <w:r w:rsidR="00F467C7" w:rsidRPr="000D5231">
        <w:rPr>
          <w:sz w:val="36"/>
          <w:szCs w:val="36"/>
          <w:lang w:val="en-US"/>
        </w:rPr>
        <w:t xml:space="preserve"> AOSIS, </w:t>
      </w:r>
      <w:r w:rsidR="00694EC7" w:rsidRPr="000D5231">
        <w:rPr>
          <w:sz w:val="36"/>
          <w:szCs w:val="36"/>
          <w:lang w:val="en-US"/>
        </w:rPr>
        <w:t xml:space="preserve">with further invited delegate comments from the floor from </w:t>
      </w:r>
      <w:r w:rsidR="008934F1" w:rsidRPr="000D5231">
        <w:rPr>
          <w:sz w:val="36"/>
          <w:szCs w:val="36"/>
          <w:lang w:val="en-US"/>
        </w:rPr>
        <w:t>Bangladesh, Mexico, Switzerland, EU, Nigeria, Australia</w:t>
      </w:r>
    </w:p>
    <w:p w:rsidR="008934F1" w:rsidRPr="000D5231" w:rsidRDefault="008934F1" w:rsidP="000C3200">
      <w:pPr>
        <w:ind w:left="1418" w:hanging="1418"/>
        <w:rPr>
          <w:sz w:val="36"/>
          <w:szCs w:val="36"/>
          <w:lang w:val="en-US"/>
        </w:rPr>
      </w:pPr>
    </w:p>
    <w:p w:rsidR="00677522" w:rsidRPr="000D5231" w:rsidRDefault="00F467C7" w:rsidP="000D5231">
      <w:pPr>
        <w:ind w:left="2070"/>
        <w:rPr>
          <w:sz w:val="36"/>
          <w:szCs w:val="36"/>
          <w:lang w:val="en-US"/>
        </w:rPr>
      </w:pPr>
      <w:r w:rsidRPr="000D5231">
        <w:rPr>
          <w:sz w:val="36"/>
          <w:szCs w:val="36"/>
          <w:lang w:val="en-US"/>
        </w:rPr>
        <w:t>Invited e</w:t>
      </w:r>
      <w:r w:rsidR="00677522" w:rsidRPr="000D5231">
        <w:rPr>
          <w:sz w:val="36"/>
          <w:szCs w:val="36"/>
          <w:lang w:val="en-US"/>
        </w:rPr>
        <w:t>xperts: MCII</w:t>
      </w:r>
      <w:r w:rsidRPr="000D5231">
        <w:rPr>
          <w:sz w:val="36"/>
          <w:szCs w:val="36"/>
          <w:lang w:val="en-US"/>
        </w:rPr>
        <w:t xml:space="preserve"> (Koko Warner)</w:t>
      </w:r>
      <w:r w:rsidR="000C3200" w:rsidRPr="000D5231">
        <w:rPr>
          <w:sz w:val="36"/>
          <w:szCs w:val="36"/>
          <w:lang w:val="en-US"/>
        </w:rPr>
        <w:t xml:space="preserve">, </w:t>
      </w:r>
      <w:r w:rsidR="00677522" w:rsidRPr="000D5231">
        <w:rPr>
          <w:sz w:val="36"/>
          <w:szCs w:val="36"/>
          <w:lang w:val="en-US"/>
        </w:rPr>
        <w:t>Germanwatch</w:t>
      </w:r>
      <w:r w:rsidRPr="000D5231">
        <w:rPr>
          <w:sz w:val="36"/>
          <w:szCs w:val="36"/>
          <w:lang w:val="en-US"/>
        </w:rPr>
        <w:t xml:space="preserve"> (</w:t>
      </w:r>
      <w:r w:rsidR="00262E06" w:rsidRPr="000D5231">
        <w:rPr>
          <w:sz w:val="36"/>
          <w:szCs w:val="36"/>
          <w:lang w:val="en-US"/>
        </w:rPr>
        <w:t>Christoph Bals</w:t>
      </w:r>
      <w:r w:rsidRPr="000D5231">
        <w:rPr>
          <w:sz w:val="36"/>
          <w:szCs w:val="36"/>
          <w:lang w:val="en-US"/>
        </w:rPr>
        <w:t>)</w:t>
      </w:r>
    </w:p>
    <w:p w:rsidR="000C3200" w:rsidRPr="000D5231" w:rsidRDefault="000C3200" w:rsidP="000C3200">
      <w:pPr>
        <w:ind w:left="1418" w:hanging="1418"/>
        <w:rPr>
          <w:sz w:val="36"/>
          <w:szCs w:val="36"/>
          <w:lang w:val="en-US"/>
        </w:rPr>
      </w:pPr>
    </w:p>
    <w:p w:rsidR="005277D9" w:rsidRPr="000D5231" w:rsidRDefault="005277D9" w:rsidP="005277D9">
      <w:pPr>
        <w:rPr>
          <w:sz w:val="36"/>
          <w:szCs w:val="36"/>
          <w:lang w:val="en-US"/>
        </w:rPr>
      </w:pPr>
      <w:r w:rsidRPr="000D5231">
        <w:rPr>
          <w:sz w:val="36"/>
          <w:szCs w:val="36"/>
          <w:lang w:val="en-US"/>
        </w:rPr>
        <w:t>Date:</w:t>
      </w:r>
      <w:r w:rsidRPr="000D5231">
        <w:rPr>
          <w:sz w:val="36"/>
          <w:szCs w:val="36"/>
          <w:lang w:val="en-US"/>
        </w:rPr>
        <w:tab/>
      </w:r>
      <w:r w:rsidRPr="000D5231">
        <w:rPr>
          <w:sz w:val="36"/>
          <w:szCs w:val="36"/>
          <w:lang w:val="en-US"/>
        </w:rPr>
        <w:tab/>
      </w:r>
      <w:r w:rsidR="002E2112" w:rsidRPr="000D5231">
        <w:rPr>
          <w:sz w:val="36"/>
          <w:szCs w:val="36"/>
          <w:lang w:val="en-US"/>
        </w:rPr>
        <w:t>Thursday</w:t>
      </w:r>
      <w:r w:rsidR="00477565" w:rsidRPr="000D5231">
        <w:rPr>
          <w:sz w:val="36"/>
          <w:szCs w:val="36"/>
          <w:lang w:val="en-US"/>
        </w:rPr>
        <w:t xml:space="preserve">, </w:t>
      </w:r>
      <w:r w:rsidR="00477565" w:rsidRPr="000D5231">
        <w:rPr>
          <w:bCs/>
          <w:sz w:val="36"/>
          <w:szCs w:val="36"/>
          <w:lang w:val="en-GB"/>
        </w:rPr>
        <w:t>0</w:t>
      </w:r>
      <w:r w:rsidR="002E2112" w:rsidRPr="000D5231">
        <w:rPr>
          <w:bCs/>
          <w:sz w:val="36"/>
          <w:szCs w:val="36"/>
          <w:lang w:val="en-GB"/>
        </w:rPr>
        <w:t>7</w:t>
      </w:r>
      <w:r w:rsidRPr="000D5231">
        <w:rPr>
          <w:bCs/>
          <w:sz w:val="36"/>
          <w:szCs w:val="36"/>
          <w:lang w:val="en-GB"/>
        </w:rPr>
        <w:t xml:space="preserve"> </w:t>
      </w:r>
      <w:r w:rsidR="00B63DC4" w:rsidRPr="000D5231">
        <w:rPr>
          <w:bCs/>
          <w:sz w:val="36"/>
          <w:szCs w:val="36"/>
          <w:lang w:val="en-GB"/>
        </w:rPr>
        <w:t>October</w:t>
      </w:r>
      <w:r w:rsidR="002B6A95" w:rsidRPr="000D5231">
        <w:rPr>
          <w:bCs/>
          <w:sz w:val="36"/>
          <w:szCs w:val="36"/>
          <w:lang w:val="en-GB"/>
        </w:rPr>
        <w:t xml:space="preserve"> </w:t>
      </w:r>
      <w:r w:rsidRPr="000D5231">
        <w:rPr>
          <w:bCs/>
          <w:sz w:val="36"/>
          <w:szCs w:val="36"/>
          <w:lang w:val="en-GB"/>
        </w:rPr>
        <w:t>20</w:t>
      </w:r>
      <w:r w:rsidR="002B6A95" w:rsidRPr="000D5231">
        <w:rPr>
          <w:bCs/>
          <w:sz w:val="36"/>
          <w:szCs w:val="36"/>
          <w:lang w:val="en-GB"/>
        </w:rPr>
        <w:t>1</w:t>
      </w:r>
      <w:r w:rsidRPr="000D5231">
        <w:rPr>
          <w:bCs/>
          <w:sz w:val="36"/>
          <w:szCs w:val="36"/>
          <w:lang w:val="en-GB"/>
        </w:rPr>
        <w:t>0</w:t>
      </w:r>
    </w:p>
    <w:p w:rsidR="005277D9" w:rsidRPr="000D5231" w:rsidRDefault="005277D9" w:rsidP="005277D9">
      <w:pPr>
        <w:rPr>
          <w:sz w:val="36"/>
          <w:szCs w:val="36"/>
          <w:lang w:val="en-US"/>
        </w:rPr>
      </w:pPr>
      <w:r w:rsidRPr="000D5231">
        <w:rPr>
          <w:sz w:val="36"/>
          <w:szCs w:val="36"/>
          <w:lang w:val="en-US"/>
        </w:rPr>
        <w:t>Time:</w:t>
      </w:r>
      <w:r w:rsidRPr="000D5231">
        <w:rPr>
          <w:sz w:val="36"/>
          <w:szCs w:val="36"/>
          <w:lang w:val="en-US"/>
        </w:rPr>
        <w:tab/>
      </w:r>
      <w:r w:rsidRPr="000D5231">
        <w:rPr>
          <w:sz w:val="36"/>
          <w:szCs w:val="36"/>
          <w:lang w:val="en-US"/>
        </w:rPr>
        <w:tab/>
      </w:r>
      <w:r w:rsidR="002E2112" w:rsidRPr="000D5231">
        <w:rPr>
          <w:sz w:val="36"/>
          <w:szCs w:val="36"/>
          <w:lang w:val="en-US"/>
        </w:rPr>
        <w:t>14:45—16:15</w:t>
      </w:r>
      <w:r w:rsidR="002E2112" w:rsidRPr="000D5231">
        <w:rPr>
          <w:i/>
          <w:sz w:val="36"/>
          <w:szCs w:val="36"/>
          <w:lang w:val="en-US"/>
        </w:rPr>
        <w:t xml:space="preserve"> </w:t>
      </w:r>
      <w:r w:rsidR="009F1E3C" w:rsidRPr="000D5231">
        <w:rPr>
          <w:i/>
          <w:sz w:val="36"/>
          <w:szCs w:val="36"/>
          <w:lang w:val="en-US"/>
        </w:rPr>
        <w:t>(programme</w:t>
      </w:r>
      <w:r w:rsidRPr="000D5231">
        <w:rPr>
          <w:i/>
          <w:sz w:val="36"/>
          <w:szCs w:val="36"/>
          <w:lang w:val="en-US"/>
        </w:rPr>
        <w:t xml:space="preserve"> </w:t>
      </w:r>
      <w:r w:rsidR="000D5231">
        <w:rPr>
          <w:i/>
          <w:sz w:val="36"/>
          <w:szCs w:val="36"/>
          <w:lang w:val="en-US"/>
        </w:rPr>
        <w:t>on reverse side</w:t>
      </w:r>
      <w:r w:rsidRPr="000D5231">
        <w:rPr>
          <w:i/>
          <w:sz w:val="36"/>
          <w:szCs w:val="36"/>
          <w:lang w:val="en-US"/>
        </w:rPr>
        <w:t>)</w:t>
      </w:r>
    </w:p>
    <w:p w:rsidR="00677522" w:rsidRDefault="002E2112" w:rsidP="00B43A37">
      <w:pPr>
        <w:rPr>
          <w:sz w:val="36"/>
          <w:szCs w:val="36"/>
          <w:lang w:val="en-US"/>
        </w:rPr>
      </w:pPr>
      <w:r w:rsidRPr="000D5231">
        <w:rPr>
          <w:sz w:val="36"/>
          <w:szCs w:val="36"/>
          <w:lang w:val="en-US"/>
        </w:rPr>
        <w:t>Location:</w:t>
      </w:r>
      <w:r w:rsidRPr="000D5231">
        <w:rPr>
          <w:sz w:val="36"/>
          <w:szCs w:val="36"/>
          <w:lang w:val="en-US"/>
        </w:rPr>
        <w:tab/>
      </w:r>
      <w:r w:rsidR="009C2E08" w:rsidRPr="000D5231">
        <w:rPr>
          <w:bCs/>
          <w:sz w:val="36"/>
          <w:szCs w:val="36"/>
          <w:lang w:val="en-GB"/>
        </w:rPr>
        <w:t>Yinchuan</w:t>
      </w:r>
    </w:p>
    <w:p w:rsidR="000D5231" w:rsidRPr="000D5231" w:rsidRDefault="000D5231" w:rsidP="00B43A37">
      <w:pPr>
        <w:rPr>
          <w:sz w:val="36"/>
          <w:szCs w:val="36"/>
          <w:lang w:val="en-US"/>
        </w:rPr>
      </w:pPr>
    </w:p>
    <w:p w:rsidR="00B43A37" w:rsidRDefault="00861D79" w:rsidP="000D5231">
      <w:pPr>
        <w:tabs>
          <w:tab w:val="left" w:pos="2160"/>
        </w:tabs>
        <w:ind w:left="2160" w:hanging="2160"/>
        <w:rPr>
          <w:sz w:val="36"/>
          <w:szCs w:val="36"/>
          <w:lang w:val="en-US"/>
        </w:rPr>
      </w:pPr>
      <w:r w:rsidRPr="000D5231">
        <w:rPr>
          <w:sz w:val="36"/>
          <w:szCs w:val="36"/>
          <w:lang w:val="en-US"/>
        </w:rPr>
        <w:t>Format</w:t>
      </w:r>
      <w:r w:rsidR="005277D9" w:rsidRPr="000D5231">
        <w:rPr>
          <w:sz w:val="36"/>
          <w:szCs w:val="36"/>
          <w:lang w:val="en-US"/>
        </w:rPr>
        <w:t>:</w:t>
      </w:r>
      <w:r w:rsidR="000D5231">
        <w:rPr>
          <w:sz w:val="36"/>
          <w:szCs w:val="36"/>
          <w:lang w:val="en-US"/>
        </w:rPr>
        <w:tab/>
      </w:r>
      <w:r w:rsidR="00B43A37" w:rsidRPr="000D5231">
        <w:rPr>
          <w:sz w:val="36"/>
          <w:szCs w:val="36"/>
          <w:lang w:val="en-US"/>
        </w:rPr>
        <w:t xml:space="preserve">Short </w:t>
      </w:r>
      <w:r w:rsidR="00BD03EE" w:rsidRPr="000D5231">
        <w:rPr>
          <w:sz w:val="36"/>
          <w:szCs w:val="36"/>
          <w:lang w:val="en-US"/>
        </w:rPr>
        <w:t xml:space="preserve">statements </w:t>
      </w:r>
      <w:r w:rsidR="00B43A37" w:rsidRPr="000D5231">
        <w:rPr>
          <w:sz w:val="36"/>
          <w:szCs w:val="36"/>
          <w:lang w:val="en-US"/>
        </w:rPr>
        <w:t>(10</w:t>
      </w:r>
      <w:r w:rsidR="00A40296" w:rsidRPr="000D5231">
        <w:rPr>
          <w:sz w:val="36"/>
          <w:szCs w:val="36"/>
          <w:lang w:val="en-US"/>
        </w:rPr>
        <w:t xml:space="preserve"> </w:t>
      </w:r>
      <w:r w:rsidR="00B43A37" w:rsidRPr="000D5231">
        <w:rPr>
          <w:sz w:val="36"/>
          <w:szCs w:val="36"/>
          <w:lang w:val="en-US"/>
        </w:rPr>
        <w:t>-1</w:t>
      </w:r>
      <w:r w:rsidR="00A40296" w:rsidRPr="000D5231">
        <w:rPr>
          <w:sz w:val="36"/>
          <w:szCs w:val="36"/>
          <w:lang w:val="en-US"/>
        </w:rPr>
        <w:t>2</w:t>
      </w:r>
      <w:r w:rsidR="00B43A37" w:rsidRPr="000D5231">
        <w:rPr>
          <w:sz w:val="36"/>
          <w:szCs w:val="36"/>
          <w:lang w:val="en-US"/>
        </w:rPr>
        <w:t xml:space="preserve"> minutes) &amp; audience discussion</w:t>
      </w:r>
    </w:p>
    <w:p w:rsidR="000D5231" w:rsidRPr="000D5231" w:rsidRDefault="000D5231" w:rsidP="000D5231">
      <w:pPr>
        <w:tabs>
          <w:tab w:val="left" w:pos="2160"/>
        </w:tabs>
        <w:ind w:left="2160" w:hanging="2160"/>
        <w:rPr>
          <w:sz w:val="36"/>
          <w:szCs w:val="36"/>
          <w:lang w:val="en-US"/>
        </w:rPr>
      </w:pPr>
    </w:p>
    <w:p w:rsidR="005277D9" w:rsidRPr="000D5231" w:rsidRDefault="005277D9" w:rsidP="000D5231">
      <w:pPr>
        <w:tabs>
          <w:tab w:val="left" w:pos="2160"/>
        </w:tabs>
        <w:ind w:left="2160" w:hanging="2160"/>
        <w:rPr>
          <w:sz w:val="36"/>
          <w:szCs w:val="36"/>
          <w:lang w:val="en-US"/>
        </w:rPr>
      </w:pPr>
      <w:r w:rsidRPr="000D5231">
        <w:rPr>
          <w:sz w:val="36"/>
          <w:szCs w:val="36"/>
          <w:lang w:val="en-US"/>
        </w:rPr>
        <w:t>Topic:</w:t>
      </w:r>
      <w:r w:rsidRPr="000D5231">
        <w:rPr>
          <w:sz w:val="36"/>
          <w:szCs w:val="36"/>
          <w:lang w:val="en-US"/>
        </w:rPr>
        <w:tab/>
      </w:r>
      <w:r w:rsidR="00BD03EE" w:rsidRPr="000D5231">
        <w:rPr>
          <w:sz w:val="36"/>
          <w:szCs w:val="36"/>
          <w:lang w:val="en-US"/>
        </w:rPr>
        <w:t>The global insurance industry statement on adapting to climate</w:t>
      </w:r>
      <w:r w:rsidR="00677522" w:rsidRPr="000D5231">
        <w:rPr>
          <w:sz w:val="36"/>
          <w:szCs w:val="36"/>
          <w:lang w:val="en-US"/>
        </w:rPr>
        <w:t xml:space="preserve"> c</w:t>
      </w:r>
      <w:r w:rsidR="00BD03EE" w:rsidRPr="000D5231">
        <w:rPr>
          <w:sz w:val="36"/>
          <w:szCs w:val="36"/>
          <w:lang w:val="en-US"/>
        </w:rPr>
        <w:t>hange in developing countries</w:t>
      </w:r>
    </w:p>
    <w:p w:rsidR="00A40296" w:rsidRPr="000D5231" w:rsidRDefault="00A40296" w:rsidP="00677522">
      <w:pPr>
        <w:ind w:left="1410" w:hanging="1410"/>
        <w:rPr>
          <w:sz w:val="36"/>
          <w:szCs w:val="36"/>
          <w:lang w:val="en-US"/>
        </w:rPr>
      </w:pPr>
    </w:p>
    <w:p w:rsidR="005277D9" w:rsidRPr="000D5231" w:rsidRDefault="00643E7B" w:rsidP="005277D9">
      <w:pPr>
        <w:rPr>
          <w:sz w:val="36"/>
          <w:szCs w:val="36"/>
          <w:lang w:val="en-US"/>
        </w:rPr>
      </w:pPr>
      <w:r w:rsidRPr="000D5231">
        <w:rPr>
          <w:sz w:val="36"/>
          <w:szCs w:val="36"/>
          <w:lang w:val="en-US"/>
        </w:rPr>
        <w:t>Moderator</w:t>
      </w:r>
      <w:r w:rsidR="005277D9" w:rsidRPr="000D5231">
        <w:rPr>
          <w:sz w:val="36"/>
          <w:szCs w:val="36"/>
          <w:lang w:val="en-US"/>
        </w:rPr>
        <w:t>:</w:t>
      </w:r>
      <w:r w:rsidR="005277D9" w:rsidRPr="000D5231">
        <w:rPr>
          <w:sz w:val="36"/>
          <w:szCs w:val="36"/>
          <w:lang w:val="en-US"/>
        </w:rPr>
        <w:tab/>
      </w:r>
      <w:r w:rsidR="000C3200" w:rsidRPr="000D5231">
        <w:rPr>
          <w:sz w:val="36"/>
          <w:szCs w:val="36"/>
          <w:lang w:val="en-US"/>
        </w:rPr>
        <w:t>Soenke Kreft, Germanwatch</w:t>
      </w:r>
    </w:p>
    <w:p w:rsidR="00677522" w:rsidRPr="00B63DC4" w:rsidRDefault="00677522" w:rsidP="005277D9">
      <w:pPr>
        <w:rPr>
          <w:sz w:val="20"/>
          <w:szCs w:val="20"/>
          <w:lang w:val="en-US"/>
        </w:rPr>
      </w:pPr>
    </w:p>
    <w:p w:rsidR="000D5231" w:rsidRDefault="000D5231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br w:type="page"/>
      </w:r>
    </w:p>
    <w:p w:rsidR="000D5231" w:rsidRPr="000D5231" w:rsidRDefault="000D5231" w:rsidP="00F35146">
      <w:pPr>
        <w:jc w:val="both"/>
        <w:rPr>
          <w:bCs/>
          <w:sz w:val="20"/>
          <w:szCs w:val="20"/>
          <w:lang w:val="en-US"/>
        </w:rPr>
      </w:pPr>
    </w:p>
    <w:p w:rsidR="000D5231" w:rsidRPr="000D5231" w:rsidRDefault="000D5231" w:rsidP="00F35146">
      <w:pPr>
        <w:jc w:val="both"/>
        <w:rPr>
          <w:bCs/>
          <w:sz w:val="20"/>
          <w:szCs w:val="20"/>
          <w:lang w:val="en-US"/>
        </w:rPr>
      </w:pPr>
    </w:p>
    <w:p w:rsidR="00F35146" w:rsidRPr="00D14281" w:rsidRDefault="00F35146" w:rsidP="00F35146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D14281">
        <w:rPr>
          <w:b/>
          <w:bCs/>
          <w:sz w:val="20"/>
          <w:szCs w:val="20"/>
          <w:u w:val="single"/>
          <w:lang w:val="en-US"/>
        </w:rPr>
        <w:t xml:space="preserve">Objectives of the session on </w:t>
      </w:r>
      <w:r w:rsidR="00677522">
        <w:rPr>
          <w:b/>
          <w:bCs/>
          <w:sz w:val="20"/>
          <w:szCs w:val="20"/>
          <w:u w:val="single"/>
          <w:lang w:val="en-US"/>
        </w:rPr>
        <w:t xml:space="preserve">the global </w:t>
      </w:r>
      <w:r w:rsidRPr="00D14281">
        <w:rPr>
          <w:b/>
          <w:bCs/>
          <w:sz w:val="20"/>
          <w:szCs w:val="20"/>
          <w:u w:val="single"/>
          <w:lang w:val="en-US"/>
        </w:rPr>
        <w:t>insurance</w:t>
      </w:r>
      <w:r w:rsidR="00677522">
        <w:rPr>
          <w:b/>
          <w:bCs/>
          <w:sz w:val="20"/>
          <w:szCs w:val="20"/>
          <w:u w:val="single"/>
          <w:lang w:val="en-US"/>
        </w:rPr>
        <w:t xml:space="preserve"> industry statement</w:t>
      </w:r>
    </w:p>
    <w:p w:rsidR="00F35146" w:rsidRPr="00D14281" w:rsidRDefault="00F35146" w:rsidP="003672B8">
      <w:pPr>
        <w:spacing w:before="240"/>
        <w:rPr>
          <w:sz w:val="20"/>
          <w:szCs w:val="20"/>
          <w:lang w:val="en-GB"/>
        </w:rPr>
      </w:pPr>
      <w:r w:rsidRPr="00D14281">
        <w:rPr>
          <w:sz w:val="20"/>
          <w:szCs w:val="20"/>
          <w:lang w:val="en-GB"/>
        </w:rPr>
        <w:t xml:space="preserve">The purpose of this side event during the </w:t>
      </w:r>
      <w:r w:rsidR="00677522">
        <w:rPr>
          <w:sz w:val="20"/>
          <w:szCs w:val="20"/>
          <w:lang w:val="en-GB"/>
        </w:rPr>
        <w:t xml:space="preserve">October </w:t>
      </w:r>
      <w:r w:rsidRPr="00D14281">
        <w:rPr>
          <w:sz w:val="20"/>
          <w:szCs w:val="20"/>
          <w:lang w:val="en-GB"/>
        </w:rPr>
        <w:t xml:space="preserve">Climate Change Talks in </w:t>
      </w:r>
      <w:r w:rsidR="00677522">
        <w:rPr>
          <w:sz w:val="20"/>
          <w:szCs w:val="20"/>
          <w:lang w:val="en-GB"/>
        </w:rPr>
        <w:t>Tianjin</w:t>
      </w:r>
      <w:r w:rsidRPr="00D14281">
        <w:rPr>
          <w:sz w:val="20"/>
          <w:szCs w:val="20"/>
          <w:lang w:val="en-GB"/>
        </w:rPr>
        <w:t xml:space="preserve"> is threefold:</w:t>
      </w:r>
    </w:p>
    <w:p w:rsidR="00F35146" w:rsidRDefault="00F35146" w:rsidP="003672B8">
      <w:pPr>
        <w:numPr>
          <w:ilvl w:val="0"/>
          <w:numId w:val="1"/>
        </w:numPr>
        <w:spacing w:before="240"/>
        <w:rPr>
          <w:sz w:val="20"/>
          <w:szCs w:val="20"/>
          <w:lang w:val="en-GB"/>
        </w:rPr>
      </w:pPr>
      <w:r w:rsidRPr="003672B8">
        <w:rPr>
          <w:b/>
          <w:sz w:val="20"/>
          <w:szCs w:val="20"/>
          <w:lang w:val="en-GB"/>
        </w:rPr>
        <w:t>To explore</w:t>
      </w:r>
      <w:r>
        <w:rPr>
          <w:sz w:val="20"/>
          <w:szCs w:val="20"/>
          <w:lang w:val="en-GB"/>
        </w:rPr>
        <w:t xml:space="preserve"> </w:t>
      </w:r>
      <w:r w:rsidR="003672B8">
        <w:rPr>
          <w:sz w:val="20"/>
          <w:szCs w:val="20"/>
          <w:lang w:val="en-GB"/>
        </w:rPr>
        <w:t xml:space="preserve">what the insurance sector can contribute and what steps governments </w:t>
      </w:r>
      <w:r w:rsidR="00035734">
        <w:rPr>
          <w:sz w:val="20"/>
          <w:szCs w:val="20"/>
          <w:lang w:val="en-GB"/>
        </w:rPr>
        <w:t>should</w:t>
      </w:r>
      <w:r w:rsidR="003672B8">
        <w:rPr>
          <w:sz w:val="20"/>
          <w:szCs w:val="20"/>
          <w:lang w:val="en-GB"/>
        </w:rPr>
        <w:t xml:space="preserve"> take on adaptation and risk reduction;</w:t>
      </w:r>
      <w:r w:rsidR="00035734">
        <w:rPr>
          <w:sz w:val="20"/>
          <w:szCs w:val="20"/>
          <w:lang w:val="en-GB"/>
        </w:rPr>
        <w:br/>
      </w:r>
    </w:p>
    <w:p w:rsidR="00035734" w:rsidRPr="00D14281" w:rsidRDefault="00035734" w:rsidP="00035734">
      <w:pPr>
        <w:numPr>
          <w:ilvl w:val="0"/>
          <w:numId w:val="1"/>
        </w:numPr>
        <w:rPr>
          <w:sz w:val="20"/>
          <w:szCs w:val="20"/>
          <w:lang w:val="en-GB"/>
        </w:rPr>
      </w:pPr>
      <w:r w:rsidRPr="003672B8">
        <w:rPr>
          <w:b/>
          <w:sz w:val="20"/>
          <w:szCs w:val="20"/>
          <w:lang w:val="en-GB"/>
        </w:rPr>
        <w:t>To discuss</w:t>
      </w:r>
      <w:r w:rsidRPr="00D14281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different reflections on the insurance industry statement by attending delegates;</w:t>
      </w:r>
      <w:r w:rsidRPr="00D14281">
        <w:rPr>
          <w:sz w:val="20"/>
          <w:szCs w:val="20"/>
          <w:lang w:val="en-GB"/>
        </w:rPr>
        <w:t xml:space="preserve"> </w:t>
      </w:r>
    </w:p>
    <w:p w:rsidR="00694EC7" w:rsidRPr="009C2E08" w:rsidRDefault="00677522" w:rsidP="003672B8">
      <w:pPr>
        <w:widowControl w:val="0"/>
        <w:numPr>
          <w:ilvl w:val="0"/>
          <w:numId w:val="1"/>
        </w:numPr>
        <w:spacing w:before="240"/>
        <w:jc w:val="both"/>
        <w:rPr>
          <w:b/>
          <w:sz w:val="20"/>
          <w:szCs w:val="20"/>
          <w:lang w:val="en-US"/>
        </w:rPr>
      </w:pPr>
      <w:r w:rsidRPr="00694EC7">
        <w:rPr>
          <w:b/>
          <w:sz w:val="20"/>
          <w:szCs w:val="20"/>
          <w:lang w:val="en-GB"/>
        </w:rPr>
        <w:t xml:space="preserve">To put forward </w:t>
      </w:r>
      <w:r w:rsidR="00035734" w:rsidRPr="00694EC7">
        <w:rPr>
          <w:b/>
          <w:sz w:val="20"/>
          <w:szCs w:val="20"/>
          <w:lang w:val="en-GB"/>
        </w:rPr>
        <w:t xml:space="preserve">ideas and </w:t>
      </w:r>
      <w:r w:rsidRPr="00694EC7">
        <w:rPr>
          <w:b/>
          <w:sz w:val="20"/>
          <w:szCs w:val="20"/>
          <w:lang w:val="en-GB"/>
        </w:rPr>
        <w:t xml:space="preserve">options </w:t>
      </w:r>
      <w:r w:rsidRPr="00694EC7">
        <w:rPr>
          <w:sz w:val="20"/>
          <w:szCs w:val="20"/>
          <w:lang w:val="en-GB"/>
        </w:rPr>
        <w:t>for feasible, catalytic COP decisions on risk management including insurance</w:t>
      </w:r>
      <w:r w:rsidR="00C22F7D" w:rsidRPr="00694EC7">
        <w:rPr>
          <w:sz w:val="20"/>
          <w:szCs w:val="20"/>
          <w:lang w:val="en-GB"/>
        </w:rPr>
        <w:t>.</w:t>
      </w:r>
    </w:p>
    <w:p w:rsidR="009C2E08" w:rsidRPr="00694EC7" w:rsidRDefault="009C2E08" w:rsidP="009C2E08">
      <w:pPr>
        <w:widowControl w:val="0"/>
        <w:spacing w:before="240"/>
        <w:ind w:left="720"/>
        <w:jc w:val="both"/>
        <w:rPr>
          <w:b/>
          <w:sz w:val="20"/>
          <w:szCs w:val="20"/>
          <w:lang w:val="en-US"/>
        </w:rPr>
      </w:pPr>
    </w:p>
    <w:p w:rsidR="00907614" w:rsidRPr="00A05FBC" w:rsidRDefault="00A05FBC" w:rsidP="005277D9">
      <w:pPr>
        <w:rPr>
          <w:b/>
          <w:sz w:val="20"/>
          <w:szCs w:val="20"/>
          <w:lang w:val="en-US"/>
        </w:rPr>
      </w:pPr>
      <w:r w:rsidRPr="00A05FBC">
        <w:rPr>
          <w:b/>
          <w:sz w:val="20"/>
          <w:szCs w:val="20"/>
          <w:lang w:val="en-US"/>
        </w:rPr>
        <w:t>Program</w:t>
      </w:r>
      <w:r w:rsidR="009F1E3C">
        <w:rPr>
          <w:b/>
          <w:sz w:val="20"/>
          <w:szCs w:val="20"/>
          <w:lang w:val="en-US"/>
        </w:rPr>
        <w:t>me</w:t>
      </w:r>
      <w:r w:rsidRPr="00A05FBC">
        <w:rPr>
          <w:b/>
          <w:sz w:val="20"/>
          <w:szCs w:val="20"/>
          <w:lang w:val="en-US"/>
        </w:rPr>
        <w:t xml:space="preserve"> outline</w:t>
      </w:r>
    </w:p>
    <w:p w:rsidR="00A05FBC" w:rsidRPr="005233E6" w:rsidRDefault="00A05FBC" w:rsidP="005277D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908"/>
        <w:gridCol w:w="3420"/>
        <w:gridCol w:w="3884"/>
      </w:tblGrid>
      <w:tr w:rsidR="005277D9" w:rsidRPr="00BC5C97" w:rsidTr="002B1DA3">
        <w:tc>
          <w:tcPr>
            <w:tcW w:w="1908" w:type="dxa"/>
            <w:vAlign w:val="center"/>
          </w:tcPr>
          <w:p w:rsidR="005277D9" w:rsidRPr="00D14281" w:rsidRDefault="005277D9" w:rsidP="00CC1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14281">
              <w:rPr>
                <w:b/>
                <w:bCs/>
                <w:sz w:val="20"/>
                <w:szCs w:val="20"/>
              </w:rPr>
              <w:t>Introduction &amp;</w:t>
            </w:r>
          </w:p>
          <w:p w:rsidR="005277D9" w:rsidRPr="00D14281" w:rsidRDefault="005277D9" w:rsidP="00CC1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14281">
              <w:rPr>
                <w:b/>
                <w:bCs/>
                <w:sz w:val="20"/>
                <w:szCs w:val="20"/>
              </w:rPr>
              <w:t>Moderation</w:t>
            </w:r>
          </w:p>
        </w:tc>
        <w:tc>
          <w:tcPr>
            <w:tcW w:w="3420" w:type="dxa"/>
            <w:vAlign w:val="center"/>
          </w:tcPr>
          <w:p w:rsidR="005277D9" w:rsidRPr="00D14281" w:rsidRDefault="005277D9" w:rsidP="002B1D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4" w:type="dxa"/>
          </w:tcPr>
          <w:p w:rsidR="005277D9" w:rsidRDefault="005277D9" w:rsidP="00CC199A">
            <w:pPr>
              <w:rPr>
                <w:sz w:val="20"/>
                <w:szCs w:val="20"/>
                <w:lang w:val="en-GB"/>
              </w:rPr>
            </w:pPr>
          </w:p>
          <w:p w:rsidR="007B5332" w:rsidRDefault="007B5332" w:rsidP="00CC199A">
            <w:pPr>
              <w:rPr>
                <w:sz w:val="20"/>
                <w:szCs w:val="20"/>
                <w:lang w:val="en-GB"/>
              </w:rPr>
            </w:pPr>
          </w:p>
          <w:p w:rsidR="005233E6" w:rsidRPr="00735A36" w:rsidRDefault="005233E6" w:rsidP="00CC199A">
            <w:pPr>
              <w:rPr>
                <w:sz w:val="20"/>
                <w:szCs w:val="20"/>
                <w:lang w:val="en-GB"/>
              </w:rPr>
            </w:pPr>
          </w:p>
        </w:tc>
      </w:tr>
      <w:tr w:rsidR="00042793" w:rsidRPr="006B4E3A" w:rsidTr="002D1626">
        <w:trPr>
          <w:trHeight w:val="885"/>
        </w:trPr>
        <w:tc>
          <w:tcPr>
            <w:tcW w:w="1908" w:type="dxa"/>
            <w:vMerge w:val="restart"/>
            <w:vAlign w:val="center"/>
          </w:tcPr>
          <w:p w:rsidR="00042793" w:rsidRPr="0096572B" w:rsidRDefault="00042793" w:rsidP="00CC199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6572B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7B5332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96572B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7B5332">
              <w:rPr>
                <w:b/>
                <w:bCs/>
                <w:sz w:val="20"/>
                <w:szCs w:val="20"/>
                <w:lang w:val="en-US"/>
              </w:rPr>
              <w:t>55</w:t>
            </w:r>
            <w:r w:rsidRPr="0096572B">
              <w:rPr>
                <w:b/>
                <w:bCs/>
                <w:sz w:val="20"/>
                <w:szCs w:val="20"/>
                <w:lang w:val="en-US"/>
              </w:rPr>
              <w:t xml:space="preserve"> – </w:t>
            </w:r>
            <w:r w:rsidR="00735A36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7B5332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96572B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7B5332">
              <w:rPr>
                <w:b/>
                <w:bCs/>
                <w:sz w:val="20"/>
                <w:szCs w:val="20"/>
                <w:lang w:val="en-US"/>
              </w:rPr>
              <w:t>45</w:t>
            </w:r>
          </w:p>
          <w:p w:rsidR="00042793" w:rsidRPr="0096572B" w:rsidRDefault="00042793" w:rsidP="00CC199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042793" w:rsidRPr="0096572B" w:rsidRDefault="00042793" w:rsidP="00B43A3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6572B">
              <w:rPr>
                <w:b/>
                <w:bCs/>
                <w:sz w:val="20"/>
                <w:szCs w:val="20"/>
                <w:lang w:val="en-US"/>
              </w:rPr>
              <w:t xml:space="preserve">Expert </w:t>
            </w:r>
            <w:r w:rsidR="00B43A37">
              <w:rPr>
                <w:b/>
                <w:bCs/>
                <w:sz w:val="20"/>
                <w:szCs w:val="20"/>
                <w:lang w:val="en-US"/>
              </w:rPr>
              <w:t>Panel</w:t>
            </w:r>
          </w:p>
        </w:tc>
        <w:tc>
          <w:tcPr>
            <w:tcW w:w="3420" w:type="dxa"/>
            <w:tcBorders>
              <w:bottom w:val="nil"/>
            </w:tcBorders>
          </w:tcPr>
          <w:p w:rsidR="007B5332" w:rsidRDefault="007B5332" w:rsidP="00CC199A">
            <w:pPr>
              <w:rPr>
                <w:sz w:val="20"/>
                <w:szCs w:val="20"/>
                <w:lang w:val="en-GB"/>
              </w:rPr>
            </w:pPr>
          </w:p>
          <w:p w:rsidR="009F1E3C" w:rsidRPr="00F467C7" w:rsidRDefault="009F1E3C" w:rsidP="009F1E3C">
            <w:pPr>
              <w:rPr>
                <w:b/>
                <w:sz w:val="20"/>
                <w:szCs w:val="20"/>
                <w:lang w:val="en-US"/>
              </w:rPr>
            </w:pPr>
            <w:r w:rsidRPr="00F467C7">
              <w:rPr>
                <w:b/>
                <w:sz w:val="20"/>
                <w:szCs w:val="20"/>
                <w:lang w:val="en-US"/>
              </w:rPr>
              <w:t>Koko Warner,</w:t>
            </w:r>
            <w:r w:rsidRPr="00F467C7">
              <w:rPr>
                <w:sz w:val="20"/>
                <w:szCs w:val="20"/>
                <w:lang w:val="en-US"/>
              </w:rPr>
              <w:t xml:space="preserve"> MCII</w:t>
            </w:r>
          </w:p>
          <w:p w:rsidR="009F1E3C" w:rsidRDefault="009F1E3C" w:rsidP="00CC199A">
            <w:pPr>
              <w:rPr>
                <w:sz w:val="20"/>
                <w:szCs w:val="20"/>
                <w:lang w:val="en-GB"/>
              </w:rPr>
            </w:pPr>
          </w:p>
          <w:p w:rsidR="009F1E3C" w:rsidRDefault="009F1E3C" w:rsidP="00CC199A">
            <w:pPr>
              <w:rPr>
                <w:sz w:val="20"/>
                <w:szCs w:val="20"/>
                <w:lang w:val="en-GB"/>
              </w:rPr>
            </w:pPr>
          </w:p>
          <w:p w:rsidR="009F1E3C" w:rsidRDefault="009F1E3C" w:rsidP="00CC199A">
            <w:pPr>
              <w:rPr>
                <w:sz w:val="20"/>
                <w:szCs w:val="20"/>
                <w:lang w:val="en-GB"/>
              </w:rPr>
            </w:pPr>
          </w:p>
          <w:p w:rsidR="009F1E3C" w:rsidRDefault="009F1E3C" w:rsidP="009F1E3C">
            <w:pPr>
              <w:rPr>
                <w:sz w:val="20"/>
                <w:szCs w:val="20"/>
                <w:lang w:val="en-US"/>
              </w:rPr>
            </w:pPr>
            <w:r w:rsidRPr="007B5332">
              <w:rPr>
                <w:sz w:val="20"/>
                <w:szCs w:val="20"/>
                <w:lang w:val="en-US"/>
              </w:rPr>
              <w:t>Representative of the</w:t>
            </w:r>
            <w:r>
              <w:rPr>
                <w:b/>
                <w:sz w:val="20"/>
                <w:szCs w:val="20"/>
                <w:lang w:val="en-US"/>
              </w:rPr>
              <w:t xml:space="preserve"> AOSIS delegation</w:t>
            </w:r>
          </w:p>
          <w:p w:rsidR="00042793" w:rsidRPr="00042793" w:rsidRDefault="00042793" w:rsidP="00CC19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4" w:type="dxa"/>
            <w:tcBorders>
              <w:bottom w:val="nil"/>
            </w:tcBorders>
          </w:tcPr>
          <w:p w:rsidR="007B5332" w:rsidRDefault="007B5332" w:rsidP="007B5332">
            <w:pPr>
              <w:rPr>
                <w:sz w:val="20"/>
                <w:szCs w:val="20"/>
                <w:lang w:val="en-US"/>
              </w:rPr>
            </w:pPr>
          </w:p>
          <w:p w:rsidR="009F1E3C" w:rsidRDefault="009F1E3C" w:rsidP="009F1E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Global Insurance Industry Group Statement on Adapting to Climate Change in Developing Countries</w:t>
            </w:r>
          </w:p>
          <w:p w:rsidR="009F1E3C" w:rsidRDefault="009F1E3C" w:rsidP="007B5332">
            <w:pPr>
              <w:rPr>
                <w:sz w:val="20"/>
                <w:szCs w:val="20"/>
                <w:lang w:val="en-US"/>
              </w:rPr>
            </w:pPr>
          </w:p>
          <w:p w:rsidR="00042793" w:rsidRPr="0096572B" w:rsidRDefault="009F1E3C" w:rsidP="007B533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Response to the Global Insurance Industry Statement from a small islands’ perspective</w:t>
            </w:r>
          </w:p>
        </w:tc>
      </w:tr>
      <w:tr w:rsidR="005233E6" w:rsidRPr="00F467C7" w:rsidTr="002D1626">
        <w:trPr>
          <w:trHeight w:val="715"/>
        </w:trPr>
        <w:tc>
          <w:tcPr>
            <w:tcW w:w="1908" w:type="dxa"/>
            <w:vMerge/>
            <w:vAlign w:val="center"/>
          </w:tcPr>
          <w:p w:rsidR="005233E6" w:rsidRPr="0096572B" w:rsidRDefault="005233E6" w:rsidP="00CC199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9F1E3C" w:rsidRDefault="009F1E3C" w:rsidP="00F94787">
            <w:pPr>
              <w:rPr>
                <w:sz w:val="20"/>
                <w:szCs w:val="20"/>
                <w:lang w:val="en-US"/>
              </w:rPr>
            </w:pPr>
          </w:p>
          <w:p w:rsidR="005233E6" w:rsidRDefault="009F1E3C" w:rsidP="009F1E3C">
            <w:pPr>
              <w:rPr>
                <w:sz w:val="20"/>
                <w:szCs w:val="20"/>
                <w:lang w:val="en-GB"/>
              </w:rPr>
            </w:pPr>
            <w:r w:rsidRPr="007B5332">
              <w:rPr>
                <w:sz w:val="20"/>
                <w:szCs w:val="20"/>
                <w:lang w:val="en-GB"/>
              </w:rPr>
              <w:t>Representative of the</w:t>
            </w:r>
            <w:r>
              <w:rPr>
                <w:b/>
                <w:sz w:val="20"/>
                <w:szCs w:val="20"/>
                <w:lang w:val="en-GB"/>
              </w:rPr>
              <w:t xml:space="preserve"> US delegation</w:t>
            </w:r>
          </w:p>
          <w:p w:rsidR="00035734" w:rsidRDefault="00035734" w:rsidP="009F1E3C">
            <w:pPr>
              <w:rPr>
                <w:sz w:val="20"/>
                <w:szCs w:val="20"/>
                <w:lang w:val="en-GB"/>
              </w:rPr>
            </w:pPr>
          </w:p>
          <w:p w:rsidR="00A618B6" w:rsidRDefault="00A618B6" w:rsidP="009F1E3C">
            <w:pPr>
              <w:rPr>
                <w:sz w:val="20"/>
                <w:szCs w:val="20"/>
                <w:lang w:val="en-GB"/>
              </w:rPr>
            </w:pPr>
          </w:p>
          <w:p w:rsidR="00035734" w:rsidRPr="00A618B6" w:rsidRDefault="00290987" w:rsidP="009F1E3C">
            <w:pPr>
              <w:rPr>
                <w:b/>
                <w:sz w:val="20"/>
                <w:szCs w:val="20"/>
                <w:lang w:val="en-GB"/>
              </w:rPr>
            </w:pPr>
            <w:r w:rsidRPr="00A618B6">
              <w:rPr>
                <w:b/>
                <w:sz w:val="20"/>
                <w:szCs w:val="20"/>
                <w:lang w:val="en-GB"/>
              </w:rPr>
              <w:t>Delegate c</w:t>
            </w:r>
            <w:r w:rsidR="00035734" w:rsidRPr="00A618B6">
              <w:rPr>
                <w:b/>
                <w:sz w:val="20"/>
                <w:szCs w:val="20"/>
                <w:lang w:val="en-GB"/>
              </w:rPr>
              <w:t xml:space="preserve">omments from the floor </w:t>
            </w:r>
          </w:p>
          <w:p w:rsidR="00035734" w:rsidRPr="00042793" w:rsidRDefault="00035734" w:rsidP="009F1E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4" w:type="dxa"/>
            <w:tcBorders>
              <w:top w:val="nil"/>
              <w:bottom w:val="nil"/>
            </w:tcBorders>
          </w:tcPr>
          <w:p w:rsidR="009F1E3C" w:rsidRDefault="009F1E3C" w:rsidP="00B43A37">
            <w:pPr>
              <w:rPr>
                <w:sz w:val="20"/>
                <w:szCs w:val="20"/>
                <w:lang w:val="en-US"/>
              </w:rPr>
            </w:pPr>
          </w:p>
          <w:p w:rsidR="005233E6" w:rsidRDefault="009F1E3C" w:rsidP="00B43A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Disaster risk reduction, insurance and risk management</w:t>
            </w:r>
            <w:r w:rsidR="00A618B6">
              <w:rPr>
                <w:sz w:val="20"/>
                <w:szCs w:val="20"/>
                <w:lang w:val="en-GB"/>
              </w:rPr>
              <w:t>: US perspectives</w:t>
            </w:r>
            <w:r>
              <w:rPr>
                <w:sz w:val="20"/>
                <w:szCs w:val="20"/>
                <w:lang w:val="en-GB"/>
              </w:rPr>
              <w:t xml:space="preserve"> position.</w:t>
            </w:r>
          </w:p>
          <w:p w:rsidR="00B43A37" w:rsidRDefault="00B43A37" w:rsidP="00B43A37">
            <w:pPr>
              <w:rPr>
                <w:sz w:val="20"/>
                <w:szCs w:val="20"/>
                <w:lang w:val="en-US"/>
              </w:rPr>
            </w:pPr>
          </w:p>
          <w:p w:rsidR="00290987" w:rsidRDefault="00290987" w:rsidP="00B43A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Invited: Bangladesh, Mexico, Switzerland, EU, Nigeria, Australia</w:t>
            </w:r>
          </w:p>
          <w:p w:rsidR="00290987" w:rsidRPr="00735A36" w:rsidRDefault="00290987" w:rsidP="00B43A37">
            <w:pPr>
              <w:rPr>
                <w:sz w:val="20"/>
                <w:szCs w:val="20"/>
                <w:lang w:val="en-US"/>
              </w:rPr>
            </w:pPr>
          </w:p>
        </w:tc>
      </w:tr>
      <w:tr w:rsidR="00042793" w:rsidRPr="006B4E3A" w:rsidTr="004D10A2">
        <w:trPr>
          <w:trHeight w:val="707"/>
        </w:trPr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42793" w:rsidRPr="0096572B" w:rsidRDefault="00042793" w:rsidP="00CC199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4D10A2" w:rsidRDefault="009C2E08" w:rsidP="00CC199A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Christoph Bals</w:t>
            </w:r>
            <w:r w:rsidR="007B5332" w:rsidRPr="007B5332"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Germanwatch</w:t>
            </w:r>
          </w:p>
          <w:p w:rsidR="004D10A2" w:rsidRPr="00042793" w:rsidRDefault="004D10A2" w:rsidP="00CC19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4" w:type="dxa"/>
            <w:tcBorders>
              <w:top w:val="nil"/>
              <w:bottom w:val="single" w:sz="4" w:space="0" w:color="auto"/>
            </w:tcBorders>
          </w:tcPr>
          <w:p w:rsidR="007B5332" w:rsidRPr="002D1626" w:rsidRDefault="007B5332" w:rsidP="007B533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A look ahead to COP-16 – What do the public and private sectors need to do?</w:t>
            </w:r>
          </w:p>
        </w:tc>
      </w:tr>
      <w:tr w:rsidR="004D10A2" w:rsidRPr="0096572B" w:rsidTr="002B1DA3">
        <w:trPr>
          <w:trHeight w:val="707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4D10A2" w:rsidRPr="0096572B" w:rsidRDefault="007B5332" w:rsidP="007B5332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15:45</w:t>
            </w:r>
            <w:r w:rsidR="004D10A2" w:rsidRPr="002D1626">
              <w:rPr>
                <w:b/>
                <w:bCs/>
                <w:sz w:val="20"/>
                <w:szCs w:val="20"/>
                <w:lang w:val="en-US"/>
              </w:rPr>
              <w:t xml:space="preserve"> –1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  <w:r w:rsidR="004D10A2" w:rsidRPr="002D1626">
              <w:rPr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vAlign w:val="center"/>
          </w:tcPr>
          <w:p w:rsidR="004D10A2" w:rsidRDefault="002B1DA3" w:rsidP="002B1DA3">
            <w:pPr>
              <w:rPr>
                <w:sz w:val="20"/>
                <w:szCs w:val="20"/>
                <w:lang w:val="en-US"/>
              </w:rPr>
            </w:pPr>
            <w:r w:rsidRPr="0096572B">
              <w:rPr>
                <w:b/>
                <w:bCs/>
                <w:sz w:val="20"/>
                <w:szCs w:val="20"/>
              </w:rPr>
              <w:t>Audience Discussion</w:t>
            </w:r>
          </w:p>
        </w:tc>
        <w:tc>
          <w:tcPr>
            <w:tcW w:w="3884" w:type="dxa"/>
            <w:tcBorders>
              <w:top w:val="nil"/>
              <w:bottom w:val="single" w:sz="4" w:space="0" w:color="auto"/>
            </w:tcBorders>
          </w:tcPr>
          <w:p w:rsidR="004D10A2" w:rsidRDefault="004D10A2" w:rsidP="00CC199A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5277D9" w:rsidRDefault="005277D9" w:rsidP="005277D9">
      <w:pPr>
        <w:rPr>
          <w:sz w:val="20"/>
          <w:szCs w:val="20"/>
        </w:rPr>
      </w:pPr>
    </w:p>
    <w:p w:rsidR="00B64D98" w:rsidRDefault="00B64D98" w:rsidP="005277D9">
      <w:pPr>
        <w:rPr>
          <w:sz w:val="20"/>
          <w:szCs w:val="20"/>
          <w:lang w:val="en-US"/>
        </w:rPr>
      </w:pPr>
    </w:p>
    <w:p w:rsidR="00B64D98" w:rsidRPr="00B64D98" w:rsidRDefault="00B64D98" w:rsidP="00B64D98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B64D98">
        <w:rPr>
          <w:b/>
          <w:bCs/>
          <w:sz w:val="20"/>
          <w:szCs w:val="20"/>
          <w:u w:val="single"/>
          <w:lang w:val="en-US"/>
        </w:rPr>
        <w:t>About MCII</w:t>
      </w:r>
    </w:p>
    <w:p w:rsidR="00B64D98" w:rsidRPr="00176277" w:rsidRDefault="00B64D98" w:rsidP="00176277">
      <w:pPr>
        <w:jc w:val="both"/>
        <w:rPr>
          <w:rFonts w:cs="Arial"/>
          <w:sz w:val="20"/>
          <w:szCs w:val="20"/>
          <w:lang w:val="en-GB"/>
        </w:rPr>
      </w:pPr>
      <w:r w:rsidRPr="00D14281">
        <w:rPr>
          <w:sz w:val="20"/>
          <w:szCs w:val="20"/>
          <w:lang w:val="en-US"/>
        </w:rPr>
        <w:t xml:space="preserve">The </w:t>
      </w:r>
      <w:r w:rsidRPr="00D14281">
        <w:rPr>
          <w:rFonts w:cs="Arial"/>
          <w:sz w:val="20"/>
          <w:szCs w:val="20"/>
          <w:lang w:val="en-GB"/>
        </w:rPr>
        <w:t xml:space="preserve">Munich Climate Insurance Initiative (MCII) was launched </w:t>
      </w:r>
      <w:r w:rsidR="00C94C14">
        <w:rPr>
          <w:rFonts w:cs="Arial"/>
          <w:sz w:val="20"/>
          <w:szCs w:val="20"/>
          <w:lang w:val="en-GB"/>
        </w:rPr>
        <w:t>in</w:t>
      </w:r>
      <w:r w:rsidRPr="00D14281">
        <w:rPr>
          <w:rFonts w:cs="Arial"/>
          <w:sz w:val="20"/>
          <w:szCs w:val="20"/>
          <w:lang w:val="en-GB"/>
        </w:rPr>
        <w:t xml:space="preserve"> Munich in April 2005 in response to the growing realisation that insurance-related solutions can play a role in adaptation to climate change, as advocated in the Framework Convention and the Kyoto Protocol. This initiative</w:t>
      </w:r>
      <w:r w:rsidR="003672B8">
        <w:rPr>
          <w:rFonts w:cs="Arial"/>
          <w:sz w:val="20"/>
          <w:szCs w:val="20"/>
          <w:lang w:val="en-GB"/>
        </w:rPr>
        <w:t>, hosted at the United Nations University Institute for Environment and Human Security (UNU-EHS), in Bonn (Germany),</w:t>
      </w:r>
      <w:r w:rsidRPr="00D14281">
        <w:rPr>
          <w:rFonts w:cs="Arial"/>
          <w:sz w:val="20"/>
          <w:szCs w:val="20"/>
          <w:lang w:val="en-GB"/>
        </w:rPr>
        <w:t xml:space="preserve"> brings together insurers, experts on climate change and adaptation, NGOs, and policy researchers intent on finding solutions to the risks posed by climate change. MCII provides a forum and gathering point for insurance-related expertise on climate change impact issues.</w:t>
      </w:r>
    </w:p>
    <w:sectPr w:rsidR="00B64D98" w:rsidRPr="00176277" w:rsidSect="0076126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96" w:rsidRDefault="002B0496">
      <w:r>
        <w:separator/>
      </w:r>
    </w:p>
  </w:endnote>
  <w:endnote w:type="continuationSeparator" w:id="1">
    <w:p w:rsidR="002B0496" w:rsidRDefault="002B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22" w:rsidRPr="00176277" w:rsidRDefault="00677522" w:rsidP="00176277">
    <w:pPr>
      <w:jc w:val="center"/>
      <w:rPr>
        <w:rFonts w:cs="Arial"/>
        <w:b/>
        <w:sz w:val="18"/>
        <w:szCs w:val="18"/>
        <w:lang w:val="en-GB"/>
      </w:rPr>
    </w:pPr>
    <w:r w:rsidRPr="00176277">
      <w:rPr>
        <w:b/>
        <w:i/>
        <w:sz w:val="18"/>
        <w:szCs w:val="18"/>
        <w:lang w:val="en-US"/>
      </w:rPr>
      <w:t>Contact:</w:t>
    </w:r>
    <w:r w:rsidRPr="00176277">
      <w:rPr>
        <w:sz w:val="18"/>
        <w:szCs w:val="18"/>
        <w:lang w:val="en-US"/>
      </w:rPr>
      <w:t xml:space="preserve"> Koko Warner (</w:t>
    </w:r>
    <w:hyperlink r:id="rId1" w:history="1">
      <w:r w:rsidRPr="00176277">
        <w:rPr>
          <w:rStyle w:val="Hyperlink"/>
          <w:sz w:val="18"/>
          <w:szCs w:val="18"/>
          <w:lang w:val="en-US"/>
        </w:rPr>
        <w:t>warner@ehs.unu.edu</w:t>
      </w:r>
    </w:hyperlink>
    <w:r w:rsidRPr="00176277">
      <w:rPr>
        <w:sz w:val="18"/>
        <w:szCs w:val="18"/>
        <w:lang w:val="en-US"/>
      </w:rPr>
      <w:t xml:space="preserve">) | </w:t>
    </w:r>
    <w:hyperlink r:id="rId2" w:history="1">
      <w:r w:rsidRPr="00176277">
        <w:rPr>
          <w:rStyle w:val="Hyperlink"/>
          <w:rFonts w:cs="Arial"/>
          <w:b/>
          <w:sz w:val="18"/>
          <w:szCs w:val="18"/>
          <w:lang w:val="en-GB"/>
        </w:rPr>
        <w:t>www.climate-insurance.org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96" w:rsidRDefault="002B0496">
      <w:r>
        <w:separator/>
      </w:r>
    </w:p>
  </w:footnote>
  <w:footnote w:type="continuationSeparator" w:id="1">
    <w:p w:rsidR="002B0496" w:rsidRDefault="002B0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22" w:rsidRPr="00D52B46" w:rsidRDefault="00677522" w:rsidP="005315EB">
    <w:pPr>
      <w:pStyle w:val="Header"/>
      <w:pBdr>
        <w:bottom w:val="single" w:sz="12" w:space="1" w:color="auto"/>
      </w:pBdr>
      <w:tabs>
        <w:tab w:val="clear" w:pos="4153"/>
        <w:tab w:val="clear" w:pos="8306"/>
        <w:tab w:val="left" w:pos="1725"/>
      </w:tabs>
      <w:rPr>
        <w:b/>
        <w:bCs/>
        <w:i/>
        <w:iCs/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935355" cy="26416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i/>
        <w:iCs/>
        <w:sz w:val="18"/>
        <w:szCs w:val="18"/>
      </w:rPr>
      <w:tab/>
    </w:r>
  </w:p>
  <w:p w:rsidR="00677522" w:rsidRPr="00176277" w:rsidRDefault="00677522" w:rsidP="00176277">
    <w:pPr>
      <w:pStyle w:val="Header"/>
      <w:pBdr>
        <w:bottom w:val="single" w:sz="12" w:space="1" w:color="auto"/>
      </w:pBdr>
      <w:rPr>
        <w:b/>
        <w:bCs/>
        <w:iCs/>
        <w:sz w:val="18"/>
        <w:szCs w:val="18"/>
      </w:rPr>
    </w:pPr>
    <w:r w:rsidRPr="00D52B46">
      <w:rPr>
        <w:b/>
        <w:bCs/>
        <w:i/>
        <w:iCs/>
        <w:sz w:val="18"/>
        <w:szCs w:val="18"/>
      </w:rPr>
      <w:t xml:space="preserve">Munich Climate Insurance Initiative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7EC"/>
    <w:multiLevelType w:val="hybridMultilevel"/>
    <w:tmpl w:val="1EFC2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2B46"/>
    <w:rsid w:val="00035734"/>
    <w:rsid w:val="00035DC2"/>
    <w:rsid w:val="00042793"/>
    <w:rsid w:val="00043195"/>
    <w:rsid w:val="00063D08"/>
    <w:rsid w:val="000C3200"/>
    <w:rsid w:val="000D265E"/>
    <w:rsid w:val="000D5231"/>
    <w:rsid w:val="000E1E23"/>
    <w:rsid w:val="00144816"/>
    <w:rsid w:val="00155D7D"/>
    <w:rsid w:val="00176277"/>
    <w:rsid w:val="0019042E"/>
    <w:rsid w:val="00191285"/>
    <w:rsid w:val="001C6EBE"/>
    <w:rsid w:val="001D327F"/>
    <w:rsid w:val="001F0EC9"/>
    <w:rsid w:val="00210965"/>
    <w:rsid w:val="002145C3"/>
    <w:rsid w:val="00246EEA"/>
    <w:rsid w:val="00262E06"/>
    <w:rsid w:val="002659CE"/>
    <w:rsid w:val="00290987"/>
    <w:rsid w:val="002B0496"/>
    <w:rsid w:val="002B1DA3"/>
    <w:rsid w:val="002B6A95"/>
    <w:rsid w:val="002D1626"/>
    <w:rsid w:val="002E2112"/>
    <w:rsid w:val="00362C13"/>
    <w:rsid w:val="00366ADE"/>
    <w:rsid w:val="003672B8"/>
    <w:rsid w:val="00387BE0"/>
    <w:rsid w:val="003B3961"/>
    <w:rsid w:val="003D5E79"/>
    <w:rsid w:val="003D6348"/>
    <w:rsid w:val="0043676E"/>
    <w:rsid w:val="00451F47"/>
    <w:rsid w:val="00477565"/>
    <w:rsid w:val="00497225"/>
    <w:rsid w:val="004B5005"/>
    <w:rsid w:val="004C55BF"/>
    <w:rsid w:val="004D10A2"/>
    <w:rsid w:val="004D6934"/>
    <w:rsid w:val="004E2A08"/>
    <w:rsid w:val="00513954"/>
    <w:rsid w:val="005233E6"/>
    <w:rsid w:val="005277D9"/>
    <w:rsid w:val="005315EB"/>
    <w:rsid w:val="00567C73"/>
    <w:rsid w:val="00613064"/>
    <w:rsid w:val="00637AAB"/>
    <w:rsid w:val="00643E7B"/>
    <w:rsid w:val="00645DCF"/>
    <w:rsid w:val="00652518"/>
    <w:rsid w:val="00667C7A"/>
    <w:rsid w:val="00677522"/>
    <w:rsid w:val="00687BFD"/>
    <w:rsid w:val="00691020"/>
    <w:rsid w:val="00691142"/>
    <w:rsid w:val="00694EC7"/>
    <w:rsid w:val="006B4E3A"/>
    <w:rsid w:val="006C6A46"/>
    <w:rsid w:val="006E4864"/>
    <w:rsid w:val="00735A36"/>
    <w:rsid w:val="007505D9"/>
    <w:rsid w:val="0076126A"/>
    <w:rsid w:val="007829ED"/>
    <w:rsid w:val="00787E29"/>
    <w:rsid w:val="007A1DC4"/>
    <w:rsid w:val="007A25B3"/>
    <w:rsid w:val="007A4DC7"/>
    <w:rsid w:val="007A6ABF"/>
    <w:rsid w:val="007B5332"/>
    <w:rsid w:val="0082696D"/>
    <w:rsid w:val="00861D79"/>
    <w:rsid w:val="00887B28"/>
    <w:rsid w:val="008934F1"/>
    <w:rsid w:val="008E0DDC"/>
    <w:rsid w:val="00907614"/>
    <w:rsid w:val="009279ED"/>
    <w:rsid w:val="0096572B"/>
    <w:rsid w:val="009C2E08"/>
    <w:rsid w:val="009C7E3B"/>
    <w:rsid w:val="009F1E3C"/>
    <w:rsid w:val="009F2DE2"/>
    <w:rsid w:val="009F6979"/>
    <w:rsid w:val="00A05FBC"/>
    <w:rsid w:val="00A218F9"/>
    <w:rsid w:val="00A40296"/>
    <w:rsid w:val="00A618B6"/>
    <w:rsid w:val="00B22591"/>
    <w:rsid w:val="00B43A37"/>
    <w:rsid w:val="00B63DC4"/>
    <w:rsid w:val="00B64D98"/>
    <w:rsid w:val="00B976D7"/>
    <w:rsid w:val="00BB2BCC"/>
    <w:rsid w:val="00BC5C97"/>
    <w:rsid w:val="00BD03EE"/>
    <w:rsid w:val="00C22F7D"/>
    <w:rsid w:val="00C32470"/>
    <w:rsid w:val="00C63C3B"/>
    <w:rsid w:val="00C81E2E"/>
    <w:rsid w:val="00C94C14"/>
    <w:rsid w:val="00CC199A"/>
    <w:rsid w:val="00CD262D"/>
    <w:rsid w:val="00CD5795"/>
    <w:rsid w:val="00CE27D0"/>
    <w:rsid w:val="00CF48B0"/>
    <w:rsid w:val="00CF6CF9"/>
    <w:rsid w:val="00D1136D"/>
    <w:rsid w:val="00D14281"/>
    <w:rsid w:val="00D21467"/>
    <w:rsid w:val="00D31005"/>
    <w:rsid w:val="00D52B46"/>
    <w:rsid w:val="00D661B3"/>
    <w:rsid w:val="00D74E9E"/>
    <w:rsid w:val="00E032C9"/>
    <w:rsid w:val="00E136A1"/>
    <w:rsid w:val="00E1684E"/>
    <w:rsid w:val="00E42FF0"/>
    <w:rsid w:val="00E64E36"/>
    <w:rsid w:val="00E94F8B"/>
    <w:rsid w:val="00EC620F"/>
    <w:rsid w:val="00F27328"/>
    <w:rsid w:val="00F35146"/>
    <w:rsid w:val="00F467C7"/>
    <w:rsid w:val="00F610AB"/>
    <w:rsid w:val="00F94787"/>
    <w:rsid w:val="00FF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26A"/>
    <w:rPr>
      <w:rFonts w:ascii="Arial" w:hAnsi="Arial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0E1E23"/>
  </w:style>
  <w:style w:type="paragraph" w:styleId="Header">
    <w:name w:val="header"/>
    <w:basedOn w:val="Normal"/>
    <w:rsid w:val="00D52B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2B4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277D9"/>
    <w:rPr>
      <w:color w:val="0000FF"/>
      <w:u w:val="single"/>
    </w:rPr>
  </w:style>
  <w:style w:type="table" w:styleId="TableGrid">
    <w:name w:val="Table Grid"/>
    <w:basedOn w:val="TableNormal"/>
    <w:rsid w:val="0052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rsid w:val="009076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mate-insurance.org" TargetMode="External"/><Relationship Id="rId1" Type="http://schemas.openxmlformats.org/officeDocument/2006/relationships/hyperlink" Target="mailto:warner@ehs.un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Bonn Climate Change Talks (01-12 June 2009)</vt:lpstr>
    </vt:vector>
  </TitlesOfParts>
  <Company>UNU</Company>
  <LinksUpToDate>false</LinksUpToDate>
  <CharactersWithSpaces>2560</CharactersWithSpaces>
  <SharedDoc>false</SharedDoc>
  <HLinks>
    <vt:vector size="12" baseType="variant">
      <vt:variant>
        <vt:i4>5111885</vt:i4>
      </vt:variant>
      <vt:variant>
        <vt:i4>3</vt:i4>
      </vt:variant>
      <vt:variant>
        <vt:i4>0</vt:i4>
      </vt:variant>
      <vt:variant>
        <vt:i4>5</vt:i4>
      </vt:variant>
      <vt:variant>
        <vt:lpwstr>http://www.climate-insurance.org/</vt:lpwstr>
      </vt:variant>
      <vt:variant>
        <vt:lpwstr/>
      </vt:variant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mailto:warner@ehs.unu.edu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Bonn Climate Change Talks (01-12 June 2009)</dc:title>
  <dc:subject/>
  <dc:creator>zissener</dc:creator>
  <cp:keywords/>
  <dc:description/>
  <cp:lastModifiedBy>AutoLogin</cp:lastModifiedBy>
  <cp:revision>4</cp:revision>
  <cp:lastPrinted>2010-10-06T11:36:00Z</cp:lastPrinted>
  <dcterms:created xsi:type="dcterms:W3CDTF">2010-10-06T11:31:00Z</dcterms:created>
  <dcterms:modified xsi:type="dcterms:W3CDTF">2010-10-06T11:47:00Z</dcterms:modified>
</cp:coreProperties>
</file>