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32D2" w14:textId="3A5DC185" w:rsidR="000D41A9" w:rsidRPr="00624EB6" w:rsidRDefault="004D2240" w:rsidP="005E335D">
      <w:pPr>
        <w:spacing w:after="200" w:line="276" w:lineRule="auto"/>
        <w:jc w:val="center"/>
        <w:rPr>
          <w:rFonts w:ascii="Century Gothic" w:hAnsi="Century Gothic"/>
          <w:b/>
          <w:bCs/>
          <w:color w:val="4472C4" w:themeColor="accent1"/>
          <w:lang w:val="en-GB"/>
        </w:rPr>
      </w:pPr>
      <w:r w:rsidRPr="00624EB6">
        <w:rPr>
          <w:rFonts w:ascii="Century Gothic" w:hAnsi="Century Gothic"/>
          <w:b/>
          <w:bCs/>
          <w:lang w:val="en-GB"/>
        </w:rPr>
        <w:t>Side event COP27</w:t>
      </w:r>
      <w:r w:rsidR="005E335D" w:rsidRPr="00624EB6">
        <w:rPr>
          <w:rFonts w:ascii="Century Gothic" w:hAnsi="Century Gothic"/>
          <w:b/>
          <w:bCs/>
          <w:lang w:val="en-GB"/>
        </w:rPr>
        <w:t xml:space="preserve"> - </w:t>
      </w:r>
      <w:r w:rsidR="000D41A9" w:rsidRPr="00624EB6">
        <w:rPr>
          <w:rFonts w:ascii="Century Gothic" w:hAnsi="Century Gothic"/>
          <w:b/>
          <w:bCs/>
          <w:color w:val="4472C4" w:themeColor="accent1"/>
          <w:lang w:val="en-GB"/>
        </w:rPr>
        <w:t>Concept note</w:t>
      </w:r>
    </w:p>
    <w:p w14:paraId="3D673E70" w14:textId="285A9D1B" w:rsidR="00537A7E" w:rsidRPr="00624EB6" w:rsidRDefault="00FC3FFA" w:rsidP="00537A7E">
      <w:pPr>
        <w:spacing w:line="360" w:lineRule="auto"/>
        <w:jc w:val="center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624EB6">
        <w:rPr>
          <w:rFonts w:ascii="Century Gothic" w:hAnsi="Century Gothic"/>
          <w:b/>
          <w:bCs/>
          <w:color w:val="000000"/>
          <w:sz w:val="22"/>
          <w:szCs w:val="22"/>
          <w:lang w:val="en-GB"/>
        </w:rPr>
        <w:t>Strengthening the capacity</w:t>
      </w:r>
      <w:r w:rsidR="00537A7E" w:rsidRPr="00624EB6">
        <w:rPr>
          <w:rFonts w:ascii="Century Gothic" w:hAnsi="Century Gothic"/>
          <w:b/>
          <w:bCs/>
          <w:color w:val="000000" w:themeColor="text1"/>
          <w:sz w:val="22"/>
          <w:szCs w:val="22"/>
          <w:lang w:val="en-GB"/>
        </w:rPr>
        <w:t xml:space="preserve"> to increase resilience to climate change in West Africa</w:t>
      </w:r>
    </w:p>
    <w:p w14:paraId="699532BC" w14:textId="3750CA76" w:rsidR="00EC7E1F" w:rsidRPr="00624EB6" w:rsidRDefault="00537A7E" w:rsidP="00EC7E1F">
      <w:pPr>
        <w:spacing w:line="360" w:lineRule="auto"/>
        <w:jc w:val="center"/>
        <w:rPr>
          <w:rFonts w:ascii="Century Gothic" w:hAnsi="Century Gothic"/>
          <w:color w:val="000000" w:themeColor="text1"/>
          <w:sz w:val="21"/>
          <w:szCs w:val="21"/>
          <w:lang w:val="en-GB"/>
        </w:rPr>
      </w:pPr>
      <w:r w:rsidRPr="00624EB6">
        <w:rPr>
          <w:rFonts w:ascii="Century Gothic" w:hAnsi="Century Gothic"/>
          <w:color w:val="000000" w:themeColor="text1"/>
          <w:sz w:val="21"/>
          <w:szCs w:val="21"/>
          <w:lang w:val="en-GB"/>
        </w:rPr>
        <w:t xml:space="preserve">BC3 Basque Centre for Climate Change, Regions4 and </w:t>
      </w:r>
      <w:proofErr w:type="spellStart"/>
      <w:r w:rsidR="00EC7E1F" w:rsidRPr="00624EB6">
        <w:rPr>
          <w:rFonts w:ascii="Century Gothic" w:hAnsi="Century Gothic"/>
          <w:color w:val="000000" w:themeColor="text1"/>
          <w:sz w:val="21"/>
          <w:szCs w:val="21"/>
          <w:lang w:val="en-GB"/>
        </w:rPr>
        <w:t>Confederación</w:t>
      </w:r>
      <w:proofErr w:type="spellEnd"/>
    </w:p>
    <w:p w14:paraId="7B63C41B" w14:textId="1BC84F3C" w:rsidR="00537A7E" w:rsidRPr="00624EB6" w:rsidRDefault="00EC7E1F" w:rsidP="00EC7E1F">
      <w:pPr>
        <w:spacing w:line="360" w:lineRule="auto"/>
        <w:jc w:val="center"/>
        <w:rPr>
          <w:rFonts w:ascii="Century Gothic" w:hAnsi="Century Gothic"/>
          <w:color w:val="000000" w:themeColor="text1"/>
          <w:sz w:val="21"/>
          <w:szCs w:val="21"/>
          <w:lang w:val="en-GB"/>
        </w:rPr>
      </w:pPr>
      <w:r w:rsidRPr="00624EB6">
        <w:rPr>
          <w:rFonts w:ascii="Century Gothic" w:hAnsi="Century Gothic"/>
          <w:color w:val="000000" w:themeColor="text1"/>
          <w:sz w:val="21"/>
          <w:szCs w:val="21"/>
          <w:lang w:val="en-GB"/>
        </w:rPr>
        <w:t xml:space="preserve">Española de </w:t>
      </w:r>
      <w:proofErr w:type="spellStart"/>
      <w:r w:rsidRPr="00624EB6">
        <w:rPr>
          <w:rFonts w:ascii="Century Gothic" w:hAnsi="Century Gothic"/>
          <w:color w:val="000000" w:themeColor="text1"/>
          <w:sz w:val="21"/>
          <w:szCs w:val="21"/>
          <w:lang w:val="en-GB"/>
        </w:rPr>
        <w:t>Organizaciones</w:t>
      </w:r>
      <w:proofErr w:type="spellEnd"/>
      <w:r w:rsidRPr="00624EB6">
        <w:rPr>
          <w:rFonts w:ascii="Century Gothic" w:hAnsi="Century Gothic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624EB6">
        <w:rPr>
          <w:rFonts w:ascii="Century Gothic" w:hAnsi="Century Gothic"/>
          <w:color w:val="000000" w:themeColor="text1"/>
          <w:sz w:val="21"/>
          <w:szCs w:val="21"/>
          <w:lang w:val="en-GB"/>
        </w:rPr>
        <w:t>Empresariales</w:t>
      </w:r>
      <w:proofErr w:type="spellEnd"/>
      <w:r w:rsidRPr="00624EB6">
        <w:rPr>
          <w:rFonts w:ascii="Century Gothic" w:hAnsi="Century Gothic"/>
          <w:color w:val="000000" w:themeColor="text1"/>
          <w:sz w:val="21"/>
          <w:szCs w:val="21"/>
          <w:lang w:val="en-GB"/>
        </w:rPr>
        <w:t xml:space="preserve"> (CEOE)</w:t>
      </w:r>
    </w:p>
    <w:p w14:paraId="2AB6B07D" w14:textId="72F59E52" w:rsidR="001F70F1" w:rsidRPr="00624EB6" w:rsidRDefault="00C619AC" w:rsidP="00537A7E">
      <w:pPr>
        <w:spacing w:line="360" w:lineRule="auto"/>
        <w:jc w:val="center"/>
        <w:rPr>
          <w:rFonts w:ascii="Century Gothic" w:hAnsi="Century Gothic"/>
          <w:color w:val="000000" w:themeColor="text1"/>
          <w:sz w:val="21"/>
          <w:szCs w:val="21"/>
          <w:lang w:val="en-GB"/>
        </w:rPr>
      </w:pPr>
      <w:r w:rsidRPr="00624EB6">
        <w:rPr>
          <w:rFonts w:ascii="Century Gothic" w:hAnsi="Century Gothic"/>
          <w:color w:val="000000" w:themeColor="text1"/>
          <w:sz w:val="21"/>
          <w:szCs w:val="21"/>
          <w:lang w:val="en-GB"/>
        </w:rPr>
        <w:t>14</w:t>
      </w:r>
      <w:r w:rsidRPr="00624EB6">
        <w:rPr>
          <w:rFonts w:ascii="Century Gothic" w:hAnsi="Century Gothic"/>
          <w:color w:val="000000" w:themeColor="text1"/>
          <w:sz w:val="21"/>
          <w:szCs w:val="21"/>
          <w:vertAlign w:val="superscript"/>
          <w:lang w:val="en-GB"/>
        </w:rPr>
        <w:t>th</w:t>
      </w:r>
      <w:r w:rsidRPr="00624EB6">
        <w:rPr>
          <w:rFonts w:ascii="Century Gothic" w:hAnsi="Century Gothic"/>
          <w:color w:val="000000" w:themeColor="text1"/>
          <w:sz w:val="21"/>
          <w:szCs w:val="21"/>
          <w:lang w:val="en-GB"/>
        </w:rPr>
        <w:t xml:space="preserve"> of November 2022, 16:45 – 18:15 (</w:t>
      </w:r>
      <w:r w:rsidR="001F70F1" w:rsidRPr="00624EB6">
        <w:rPr>
          <w:rFonts w:ascii="Century Gothic" w:hAnsi="Century Gothic"/>
          <w:color w:val="000000" w:themeColor="text1"/>
          <w:sz w:val="21"/>
          <w:szCs w:val="21"/>
          <w:lang w:val="en-GB"/>
        </w:rPr>
        <w:t xml:space="preserve">Room </w:t>
      </w:r>
      <w:r w:rsidRPr="00624EB6">
        <w:rPr>
          <w:rFonts w:ascii="Century Gothic" w:hAnsi="Century Gothic"/>
          <w:color w:val="000000" w:themeColor="text1"/>
          <w:sz w:val="21"/>
          <w:szCs w:val="21"/>
          <w:lang w:val="en-GB"/>
        </w:rPr>
        <w:t>3)</w:t>
      </w:r>
    </w:p>
    <w:p w14:paraId="0C7CBDFA" w14:textId="77777777" w:rsidR="000D41A9" w:rsidRPr="00624EB6" w:rsidRDefault="000D41A9" w:rsidP="009616A1">
      <w:pPr>
        <w:spacing w:after="200" w:line="300" w:lineRule="auto"/>
        <w:jc w:val="both"/>
        <w:rPr>
          <w:rFonts w:ascii="Century Gothic" w:hAnsi="Century Gothic"/>
          <w:color w:val="000000" w:themeColor="text1"/>
          <w:sz w:val="20"/>
          <w:szCs w:val="20"/>
          <w:lang w:val="en-GB"/>
        </w:rPr>
      </w:pPr>
    </w:p>
    <w:p w14:paraId="3A9FA720" w14:textId="29CB4220" w:rsidR="00BF0F4E" w:rsidRPr="00624EB6" w:rsidRDefault="00676C56" w:rsidP="009616A1">
      <w:pPr>
        <w:spacing w:after="200" w:line="300" w:lineRule="auto"/>
        <w:rPr>
          <w:rFonts w:ascii="Century Gothic" w:hAnsi="Century Gothic"/>
          <w:sz w:val="20"/>
          <w:szCs w:val="20"/>
          <w:lang w:val="en-GB"/>
        </w:rPr>
      </w:pPr>
      <w:r w:rsidRPr="00624EB6">
        <w:rPr>
          <w:rFonts w:ascii="Century Gothic" w:hAnsi="Century Gothic"/>
          <w:b/>
          <w:bCs/>
          <w:color w:val="4472C4" w:themeColor="accent1"/>
          <w:sz w:val="20"/>
          <w:szCs w:val="20"/>
          <w:lang w:val="en-GB"/>
        </w:rPr>
        <w:t>Background and objective</w:t>
      </w:r>
    </w:p>
    <w:p w14:paraId="54139C51" w14:textId="519F2A89" w:rsidR="00EE5BC8" w:rsidRPr="00624EB6" w:rsidRDefault="001529E2" w:rsidP="009616A1">
      <w:pPr>
        <w:spacing w:after="200" w:line="300" w:lineRule="auto"/>
        <w:jc w:val="both"/>
        <w:rPr>
          <w:rFonts w:ascii="Century Gothic" w:hAnsi="Century Gothic"/>
          <w:color w:val="000000" w:themeColor="text1"/>
          <w:sz w:val="20"/>
          <w:szCs w:val="20"/>
          <w:lang w:val="en-GB"/>
        </w:rPr>
      </w:pPr>
      <w:r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Home to more than 400 million people, </w:t>
      </w:r>
      <w:r w:rsidR="008174DB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West Africa suffers from severe climate-related hazards, which affect communities, livelihoods, and infrastructures</w:t>
      </w:r>
      <w:r w:rsidR="007F4B75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and </w:t>
      </w:r>
      <w:r w:rsidR="00FC3FFA" w:rsidRPr="00624EB6">
        <w:rPr>
          <w:rFonts w:ascii="Century Gothic" w:hAnsi="Century Gothic"/>
          <w:color w:val="000000"/>
          <w:sz w:val="20"/>
          <w:szCs w:val="20"/>
          <w:lang w:val="en-GB"/>
        </w:rPr>
        <w:t>hamper</w:t>
      </w:r>
      <w:r w:rsidR="007F4B75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development and economic growth.</w:t>
      </w:r>
      <w:r w:rsidR="00445322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</w:t>
      </w:r>
      <w:r w:rsidR="00FB0D3E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Coastal areas, which host about </w:t>
      </w:r>
      <w:r w:rsidR="00F63E43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one-third</w:t>
      </w:r>
      <w:r w:rsidR="00FB0D3E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of the population</w:t>
      </w:r>
      <w:r w:rsidR="007F4B75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in the region</w:t>
      </w:r>
      <w:r w:rsidR="00FB0D3E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and </w:t>
      </w:r>
      <w:r w:rsidR="007F4B75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more than half of its gross domestic product (GDP)</w:t>
      </w:r>
      <w:r w:rsidR="00FB0D3E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, are particularly </w:t>
      </w:r>
      <w:r w:rsidR="00D221C3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vulnerable</w:t>
      </w:r>
      <w:r w:rsidR="00FB0D3E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to clim</w:t>
      </w:r>
      <w:r w:rsidR="001C4625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ate risks</w:t>
      </w:r>
      <w:r w:rsidR="007C2B24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. In 2017 only, coastal erosion, flooding</w:t>
      </w:r>
      <w:r w:rsidR="003D5229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,</w:t>
      </w:r>
      <w:r w:rsidR="007C2B24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and environmental degradation caused</w:t>
      </w:r>
      <w:r w:rsidR="00322A5E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losses of </w:t>
      </w:r>
      <w:r w:rsidR="00E2007C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US$3.8 billion </w:t>
      </w:r>
      <w:r w:rsidR="007F4B75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in </w:t>
      </w:r>
      <w:r w:rsidR="00EE5BC8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Benin, Cote d'Ivoire, Senegal, and Togo</w:t>
      </w:r>
      <w:r w:rsidR="00425A8B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.</w:t>
      </w:r>
      <w:r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</w:t>
      </w:r>
      <w:r w:rsidR="00FC3FFA" w:rsidRPr="00624EB6">
        <w:rPr>
          <w:rFonts w:ascii="Century Gothic" w:hAnsi="Century Gothic"/>
          <w:color w:val="000000"/>
          <w:sz w:val="20"/>
          <w:szCs w:val="20"/>
          <w:lang w:val="en-GB"/>
        </w:rPr>
        <w:t>Current sea</w:t>
      </w:r>
      <w:r w:rsidR="009E4384" w:rsidRPr="00624EB6">
        <w:rPr>
          <w:rFonts w:ascii="Century Gothic" w:hAnsi="Century Gothic"/>
          <w:color w:val="000000"/>
          <w:sz w:val="20"/>
          <w:szCs w:val="20"/>
          <w:lang w:val="en-GB"/>
        </w:rPr>
        <w:t>-</w:t>
      </w:r>
      <w:r w:rsidR="00FC3FFA" w:rsidRPr="00624EB6">
        <w:rPr>
          <w:rFonts w:ascii="Century Gothic" w:hAnsi="Century Gothic"/>
          <w:color w:val="000000"/>
          <w:sz w:val="20"/>
          <w:szCs w:val="20"/>
          <w:lang w:val="en-GB"/>
        </w:rPr>
        <w:t>level rise</w:t>
      </w:r>
      <w:r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</w:t>
      </w:r>
      <w:r w:rsidR="00FC3FFA" w:rsidRPr="00624EB6">
        <w:rPr>
          <w:rFonts w:ascii="Century Gothic" w:hAnsi="Century Gothic"/>
          <w:color w:val="000000"/>
          <w:sz w:val="20"/>
          <w:szCs w:val="20"/>
          <w:lang w:val="en-GB"/>
        </w:rPr>
        <w:t>rates</w:t>
      </w:r>
      <w:r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are expected to lead to accelerated coastal erosion, flooding in low-lying coastal areas</w:t>
      </w:r>
      <w:r w:rsidR="009039CE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,</w:t>
      </w:r>
      <w:r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</w:t>
      </w:r>
      <w:r w:rsidR="00D72399">
        <w:rPr>
          <w:rFonts w:ascii="Century Gothic" w:hAnsi="Century Gothic"/>
          <w:color w:val="000000" w:themeColor="text1"/>
          <w:sz w:val="20"/>
          <w:szCs w:val="20"/>
          <w:lang w:val="en-GB"/>
        </w:rPr>
        <w:t>and increased salinization of soils, and</w:t>
      </w:r>
      <w:r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surface and ground waters.</w:t>
      </w:r>
    </w:p>
    <w:p w14:paraId="3B760ADB" w14:textId="24372CCC" w:rsidR="00C86B2D" w:rsidRPr="00624EB6" w:rsidRDefault="00590E54" w:rsidP="009616A1">
      <w:pPr>
        <w:spacing w:after="200" w:line="300" w:lineRule="auto"/>
        <w:jc w:val="both"/>
        <w:rPr>
          <w:rFonts w:ascii="Century Gothic" w:hAnsi="Century Gothic"/>
          <w:color w:val="000000" w:themeColor="text1"/>
          <w:sz w:val="20"/>
          <w:szCs w:val="20"/>
          <w:lang w:val="en-GB"/>
        </w:rPr>
      </w:pPr>
      <w:r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This adds to other challenges, such as u</w:t>
      </w:r>
      <w:r w:rsidR="00065291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rbanization processes </w:t>
      </w:r>
      <w:r w:rsidR="0002438A" w:rsidRPr="00624EB6">
        <w:rPr>
          <w:rFonts w:ascii="Century Gothic" w:hAnsi="Century Gothic"/>
          <w:color w:val="000000"/>
          <w:sz w:val="20"/>
          <w:szCs w:val="20"/>
          <w:lang w:val="en-GB"/>
        </w:rPr>
        <w:t>that</w:t>
      </w:r>
      <w:r w:rsidR="00AC173E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</w:t>
      </w:r>
      <w:r w:rsidR="00065291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are accelerating </w:t>
      </w:r>
      <w:r w:rsidR="009E4384" w:rsidRPr="00624EB6">
        <w:rPr>
          <w:rFonts w:ascii="Century Gothic" w:hAnsi="Century Gothic"/>
          <w:color w:val="000000"/>
          <w:sz w:val="20"/>
          <w:szCs w:val="20"/>
          <w:lang w:val="en-GB"/>
        </w:rPr>
        <w:t>around the world,</w:t>
      </w:r>
      <w:r w:rsidR="00E4681D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particularly in Africa and Asia</w:t>
      </w:r>
      <w:r w:rsidR="00065291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. </w:t>
      </w:r>
      <w:r w:rsidR="00C975A6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More than half of the world's population currently lives in urban areas, and by 2050, two-thirds of people are expected to live in cities</w:t>
      </w:r>
      <w:r w:rsidR="00E10CF9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</w:t>
      </w:r>
      <w:r w:rsidR="00F37FF4" w:rsidRPr="00624EB6">
        <w:rPr>
          <w:rFonts w:ascii="Century Gothic" w:hAnsi="Century Gothic"/>
          <w:color w:val="000000"/>
          <w:sz w:val="20"/>
          <w:szCs w:val="20"/>
          <w:lang w:val="en-GB"/>
        </w:rPr>
        <w:t>Although</w:t>
      </w:r>
      <w:r w:rsidR="00B429AD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cities </w:t>
      </w:r>
      <w:r w:rsidR="00E823F6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may </w:t>
      </w:r>
      <w:r w:rsidR="00F37FF4" w:rsidRPr="00624EB6">
        <w:rPr>
          <w:rFonts w:ascii="Century Gothic" w:hAnsi="Century Gothic"/>
          <w:color w:val="000000"/>
          <w:sz w:val="20"/>
          <w:szCs w:val="20"/>
          <w:lang w:val="en-GB"/>
        </w:rPr>
        <w:t>have</w:t>
      </w:r>
      <w:r w:rsidR="00E823F6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many advantages, urbanization is not without </w:t>
      </w:r>
      <w:r w:rsidR="0069322E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challenges</w:t>
      </w:r>
      <w:r w:rsidR="00E823F6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, from </w:t>
      </w:r>
      <w:r w:rsidR="004A3395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spatial urban development</w:t>
      </w:r>
      <w:r w:rsidR="0042687F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to </w:t>
      </w:r>
      <w:r w:rsidR="000173B7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access to </w:t>
      </w:r>
      <w:r w:rsidR="00F37FF4" w:rsidRPr="00624EB6">
        <w:rPr>
          <w:rFonts w:ascii="Century Gothic" w:hAnsi="Century Gothic"/>
          <w:color w:val="000000"/>
          <w:sz w:val="20"/>
          <w:szCs w:val="20"/>
          <w:lang w:val="en-GB"/>
        </w:rPr>
        <w:t>infrastructure,</w:t>
      </w:r>
      <w:r w:rsidR="000173B7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sanitation, </w:t>
      </w:r>
      <w:r w:rsidR="0042687F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transport</w:t>
      </w:r>
      <w:r w:rsidR="0011592B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, </w:t>
      </w:r>
      <w:r w:rsidR="000173B7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and other basic </w:t>
      </w:r>
      <w:r w:rsidR="00F37FF4" w:rsidRPr="00624EB6">
        <w:rPr>
          <w:rFonts w:ascii="Century Gothic" w:hAnsi="Century Gothic"/>
          <w:color w:val="000000"/>
          <w:sz w:val="20"/>
          <w:szCs w:val="20"/>
          <w:lang w:val="en-GB"/>
        </w:rPr>
        <w:t>services.</w:t>
      </w:r>
    </w:p>
    <w:p w14:paraId="2BB3A9CA" w14:textId="402929DE" w:rsidR="00C13194" w:rsidRPr="00624EB6" w:rsidRDefault="00D72399" w:rsidP="009616A1">
      <w:pPr>
        <w:spacing w:after="200" w:line="300" w:lineRule="auto"/>
        <w:jc w:val="both"/>
        <w:rPr>
          <w:rFonts w:ascii="Century Gothic" w:hAnsi="Century Gothic"/>
          <w:color w:val="000000" w:themeColor="text1"/>
          <w:sz w:val="20"/>
          <w:szCs w:val="20"/>
          <w:lang w:val="en-GB"/>
        </w:rPr>
      </w:pPr>
      <w:r>
        <w:rPr>
          <w:rFonts w:ascii="Century Gothic" w:hAnsi="Century Gothic"/>
          <w:color w:val="000000" w:themeColor="text1"/>
          <w:sz w:val="20"/>
          <w:szCs w:val="20"/>
          <w:lang w:val="en-GB"/>
        </w:rPr>
        <w:t>After the pandemic, the global energy crisis has pushed up the prices of energy, food, and other commodities, further putting pressure on African economies</w:t>
      </w:r>
      <w:r w:rsidR="00C13530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. </w:t>
      </w:r>
      <w:r w:rsidR="00C13194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The current situation has exposed not only the need but also the additional benefits of moving towards a transition to low-carbon and resilient societies. </w:t>
      </w:r>
      <w:r w:rsidR="0002438A" w:rsidRPr="00624EB6">
        <w:rPr>
          <w:rFonts w:ascii="Century Gothic" w:hAnsi="Century Gothic"/>
          <w:color w:val="000000"/>
          <w:sz w:val="20"/>
          <w:szCs w:val="20"/>
          <w:lang w:val="en-GB"/>
        </w:rPr>
        <w:t>Furthermore,</w:t>
      </w:r>
      <w:r w:rsidR="009616A1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the need for a just transition is key </w:t>
      </w:r>
      <w:r w:rsidR="00F63E43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to</w:t>
      </w:r>
      <w:r w:rsidR="009616A1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promoting inclusive climate policies and sustainable development.</w:t>
      </w:r>
    </w:p>
    <w:p w14:paraId="199EF196" w14:textId="76BA90FD" w:rsidR="00F63E43" w:rsidRPr="00624EB6" w:rsidRDefault="005E335D" w:rsidP="00F63E43">
      <w:pPr>
        <w:spacing w:after="200" w:line="300" w:lineRule="auto"/>
        <w:jc w:val="both"/>
        <w:rPr>
          <w:rFonts w:ascii="Century Gothic" w:hAnsi="Century Gothic"/>
          <w:color w:val="000000" w:themeColor="text1"/>
          <w:sz w:val="20"/>
          <w:szCs w:val="20"/>
          <w:lang w:val="en-GB"/>
        </w:rPr>
      </w:pPr>
      <w:r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This </w:t>
      </w:r>
      <w:r w:rsidR="00736D45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side </w:t>
      </w:r>
      <w:r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event will </w:t>
      </w:r>
      <w:r w:rsidR="00736D45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focus on sharing practical knowledge</w:t>
      </w:r>
      <w:r w:rsidR="00B2098D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and</w:t>
      </w:r>
      <w:r w:rsidR="00300649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</w:t>
      </w:r>
      <w:r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explor</w:t>
      </w:r>
      <w:r w:rsidR="00B2098D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ing</w:t>
      </w:r>
      <w:r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the collaboration between different actors </w:t>
      </w:r>
      <w:r w:rsidR="00B2098D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to respond to these challenges </w:t>
      </w:r>
      <w:r w:rsidR="00753599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and progress toward</w:t>
      </w:r>
      <w:r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 xml:space="preserve"> a climate-resilient and just development</w:t>
      </w:r>
      <w:r w:rsidR="00F32A04" w:rsidRPr="00624EB6">
        <w:rPr>
          <w:rFonts w:ascii="Century Gothic" w:hAnsi="Century Gothic"/>
          <w:color w:val="000000" w:themeColor="text1"/>
          <w:sz w:val="20"/>
          <w:szCs w:val="20"/>
          <w:lang w:val="en-GB"/>
        </w:rPr>
        <w:t>.</w:t>
      </w:r>
    </w:p>
    <w:p w14:paraId="204159CD" w14:textId="511027C7" w:rsidR="00277516" w:rsidRDefault="00277516" w:rsidP="009616A1">
      <w:pPr>
        <w:spacing w:after="200" w:line="300" w:lineRule="auto"/>
        <w:jc w:val="both"/>
        <w:rPr>
          <w:rFonts w:ascii="Century Gothic" w:hAnsi="Century Gothic"/>
          <w:b/>
          <w:bCs/>
          <w:color w:val="4472C4" w:themeColor="accent1"/>
          <w:sz w:val="20"/>
          <w:szCs w:val="20"/>
          <w:lang w:val="en-GB"/>
        </w:rPr>
      </w:pPr>
      <w:r>
        <w:rPr>
          <w:rFonts w:ascii="Century Gothic" w:hAnsi="Century Gothic"/>
          <w:b/>
          <w:bCs/>
          <w:color w:val="4472C4" w:themeColor="accent1"/>
          <w:sz w:val="20"/>
          <w:szCs w:val="20"/>
          <w:lang w:val="en-GB"/>
        </w:rPr>
        <w:br w:type="page"/>
      </w:r>
    </w:p>
    <w:p w14:paraId="3ACC1B60" w14:textId="617C356C" w:rsidR="00F646D4" w:rsidRPr="0097667A" w:rsidRDefault="0097667A" w:rsidP="00483ED2">
      <w:pPr>
        <w:spacing w:after="200" w:line="300" w:lineRule="auto"/>
        <w:rPr>
          <w:rFonts w:ascii="Century Gothic" w:hAnsi="Century Gothic"/>
          <w:b/>
          <w:bCs/>
          <w:color w:val="4472C4" w:themeColor="accent1"/>
          <w:sz w:val="20"/>
          <w:szCs w:val="20"/>
          <w:lang w:val="en-GB"/>
        </w:rPr>
      </w:pPr>
      <w:r>
        <w:rPr>
          <w:rFonts w:ascii="Century Gothic" w:hAnsi="Century Gothic"/>
          <w:b/>
          <w:bCs/>
          <w:color w:val="4472C4" w:themeColor="accent1"/>
          <w:sz w:val="20"/>
          <w:szCs w:val="20"/>
          <w:lang w:val="en-GB"/>
        </w:rPr>
        <w:lastRenderedPageBreak/>
        <w:t>Agenda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882"/>
      </w:tblGrid>
      <w:tr w:rsidR="00F646D4" w:rsidRPr="00964732" w14:paraId="1FEA7C3E" w14:textId="77777777" w:rsidTr="0097667A">
        <w:trPr>
          <w:trHeight w:val="967"/>
        </w:trPr>
        <w:tc>
          <w:tcPr>
            <w:tcW w:w="1276" w:type="dxa"/>
          </w:tcPr>
          <w:p w14:paraId="22F8FD22" w14:textId="6306B9F9" w:rsidR="00F646D4" w:rsidRPr="00964732" w:rsidRDefault="00F646D4" w:rsidP="0097667A">
            <w:pPr>
              <w:spacing w:line="300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</w:pPr>
            <w:r w:rsidRPr="00964732"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  <w:t>16:45</w:t>
            </w:r>
            <w:r w:rsidR="00F17568" w:rsidRPr="00964732"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  <w:t>-16:50</w:t>
            </w:r>
          </w:p>
        </w:tc>
        <w:tc>
          <w:tcPr>
            <w:tcW w:w="7882" w:type="dxa"/>
          </w:tcPr>
          <w:p w14:paraId="15344238" w14:textId="77777777" w:rsidR="0097667A" w:rsidRPr="0097667A" w:rsidRDefault="0097667A" w:rsidP="0097667A">
            <w:pPr>
              <w:spacing w:line="300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97667A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  <w:t>Introductory</w:t>
            </w:r>
            <w:r w:rsidR="00F646D4" w:rsidRPr="0097667A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remarks</w:t>
            </w:r>
          </w:p>
          <w:p w14:paraId="4513B3EE" w14:textId="1D7A0353" w:rsidR="00F646D4" w:rsidRPr="00964732" w:rsidRDefault="00F646D4" w:rsidP="0097667A">
            <w:pPr>
              <w:spacing w:line="300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</w:pPr>
            <w:r w:rsidRPr="00964732"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  <w:t>Maria Jose Sanz</w:t>
            </w:r>
            <w:r w:rsidR="0097667A"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  <w:t xml:space="preserve">, Scientific Director, </w:t>
            </w:r>
            <w:r w:rsidRPr="00964732"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  <w:t>BC3</w:t>
            </w:r>
            <w:r w:rsidR="0097667A"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  <w:t xml:space="preserve"> Basque Centre for Climate Change </w:t>
            </w:r>
            <w:r w:rsidR="00D72399"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  <w:t xml:space="preserve">and </w:t>
            </w:r>
            <w:r w:rsidR="00D72399" w:rsidRPr="00964732"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  <w:t>moderator</w:t>
            </w:r>
            <w:r w:rsidR="008920D2" w:rsidRPr="00964732"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  <w:t xml:space="preserve"> of the session</w:t>
            </w:r>
          </w:p>
        </w:tc>
      </w:tr>
      <w:tr w:rsidR="00F17568" w:rsidRPr="00964732" w14:paraId="6BA420B7" w14:textId="77777777" w:rsidTr="0097667A">
        <w:trPr>
          <w:trHeight w:val="397"/>
        </w:trPr>
        <w:tc>
          <w:tcPr>
            <w:tcW w:w="1276" w:type="dxa"/>
          </w:tcPr>
          <w:p w14:paraId="24C95012" w14:textId="727E3B4F" w:rsidR="00373945" w:rsidRPr="00964732" w:rsidRDefault="008920D2" w:rsidP="0097667A">
            <w:pPr>
              <w:spacing w:line="300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</w:pPr>
            <w:r w:rsidRPr="00964732"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  <w:t>16:50-</w:t>
            </w:r>
            <w:r w:rsidR="00964732"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  <w:t>17:50</w:t>
            </w:r>
          </w:p>
        </w:tc>
        <w:tc>
          <w:tcPr>
            <w:tcW w:w="7882" w:type="dxa"/>
          </w:tcPr>
          <w:p w14:paraId="5A117AE2" w14:textId="7DDF841A" w:rsidR="00F17568" w:rsidRPr="00964732" w:rsidRDefault="0093074F" w:rsidP="0097667A">
            <w:pPr>
              <w:spacing w:line="300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</w:pPr>
            <w:r w:rsidRPr="0097667A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Multi-stakeholders </w:t>
            </w:r>
            <w:r w:rsidRPr="0097667A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  <w:t>d</w:t>
            </w:r>
            <w:r w:rsidRPr="0097667A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  <w:t>ialogue</w:t>
            </w:r>
            <w:r w:rsidRPr="0093074F"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964732" w:rsidRPr="00964732"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  <w:t>(8-10 min each, in total 60 min)</w:t>
            </w:r>
          </w:p>
        </w:tc>
      </w:tr>
      <w:tr w:rsidR="00964732" w:rsidRPr="00964732" w14:paraId="4FEB84D9" w14:textId="77777777" w:rsidTr="0097667A">
        <w:trPr>
          <w:trHeight w:val="7804"/>
        </w:trPr>
        <w:tc>
          <w:tcPr>
            <w:tcW w:w="1276" w:type="dxa"/>
            <w:vAlign w:val="center"/>
          </w:tcPr>
          <w:p w14:paraId="3AF6940A" w14:textId="77777777" w:rsidR="00964732" w:rsidRPr="00964732" w:rsidRDefault="00964732" w:rsidP="00F17568">
            <w:pPr>
              <w:spacing w:line="300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82" w:type="dxa"/>
            <w:vAlign w:val="center"/>
          </w:tcPr>
          <w:p w14:paraId="60536C18" w14:textId="77777777" w:rsidR="00964732" w:rsidRPr="00964732" w:rsidRDefault="00964732" w:rsidP="00964732">
            <w:pPr>
              <w:spacing w:after="120" w:line="300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964732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  <w:t>Madeleine Diouf, Head of the Climate Change Division in Senegal's Ministry of Environment and Sustainable Development (MEDD).</w:t>
            </w:r>
          </w:p>
          <w:p w14:paraId="7B66AC15" w14:textId="77777777" w:rsidR="00964732" w:rsidRPr="00964732" w:rsidRDefault="00964732" w:rsidP="00964732">
            <w:pPr>
              <w:spacing w:after="120" w:line="300" w:lineRule="auto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964732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en-GB"/>
              </w:rPr>
              <w:t>What</w:t>
            </w:r>
            <w:r w:rsidRPr="00964732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are the main challenges </w:t>
            </w:r>
            <w:r w:rsidRPr="00964732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en-GB"/>
              </w:rPr>
              <w:t>to</w:t>
            </w:r>
            <w:r w:rsidRPr="00964732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climate resilience in LDCs?</w:t>
            </w:r>
          </w:p>
          <w:p w14:paraId="2CE499E4" w14:textId="77777777" w:rsidR="00964732" w:rsidRPr="00964732" w:rsidRDefault="00964732" w:rsidP="00964732">
            <w:pPr>
              <w:spacing w:after="120" w:line="300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</w:pPr>
            <w:r w:rsidRPr="00964732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Rashid El-Abdi, president of the region of Rabat – </w:t>
            </w:r>
            <w:proofErr w:type="spellStart"/>
            <w:r w:rsidRPr="00964732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Salé</w:t>
            </w:r>
            <w:proofErr w:type="spellEnd"/>
            <w:r w:rsidRPr="00964732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64732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Kénitra</w:t>
            </w:r>
            <w:proofErr w:type="spellEnd"/>
            <w:r w:rsidRPr="00964732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, and Vice president for Africa for Regions4</w:t>
            </w:r>
            <w:r w:rsidRPr="00964732">
              <w:rPr>
                <w:rFonts w:ascii="Century Gothic" w:hAnsi="Century Gothic"/>
                <w:sz w:val="18"/>
                <w:szCs w:val="18"/>
                <w:lang w:val="en-GB"/>
              </w:rPr>
              <w:t xml:space="preserve"> - Call to action to strengthen cooperation in West Africa, towards more resilience</w:t>
            </w:r>
          </w:p>
          <w:p w14:paraId="58F087D5" w14:textId="77777777" w:rsidR="00964732" w:rsidRPr="00964732" w:rsidRDefault="00964732" w:rsidP="00964732">
            <w:pPr>
              <w:spacing w:after="120" w:line="300" w:lineRule="auto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964732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What practices do you know that AIRF can undertake, that can inspire </w:t>
            </w:r>
            <w:r w:rsidRPr="00964732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en-GB"/>
              </w:rPr>
              <w:t>us to</w:t>
            </w:r>
            <w:r w:rsidRPr="00964732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move forward? </w:t>
            </w:r>
          </w:p>
          <w:p w14:paraId="1E97E593" w14:textId="77777777" w:rsidR="00964732" w:rsidRPr="00964732" w:rsidRDefault="00964732" w:rsidP="00964732">
            <w:pPr>
              <w:spacing w:after="120" w:line="300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964732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  <w:t>United Nations Economic Commission for Africa / OECD</w:t>
            </w:r>
          </w:p>
          <w:p w14:paraId="444F0128" w14:textId="77777777" w:rsidR="00964732" w:rsidRPr="00964732" w:rsidRDefault="00964732" w:rsidP="00964732">
            <w:pPr>
              <w:spacing w:after="120" w:line="300" w:lineRule="auto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964732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lang w:val="en-GB"/>
              </w:rPr>
              <w:t>What are the main opportunities for the transition in Africa? What keeps us from exploring such opportunities?</w:t>
            </w:r>
          </w:p>
          <w:p w14:paraId="25EC43AF" w14:textId="77777777" w:rsidR="00964732" w:rsidRPr="00964732" w:rsidRDefault="00964732" w:rsidP="00964732">
            <w:pPr>
              <w:spacing w:after="120" w:line="300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964732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Ana Rivero (CEOE, Banco Santander)</w:t>
            </w:r>
          </w:p>
          <w:p w14:paraId="73ED567B" w14:textId="77777777" w:rsidR="00964732" w:rsidRPr="00964732" w:rsidRDefault="00964732" w:rsidP="00964732">
            <w:pPr>
              <w:spacing w:after="120" w:line="300" w:lineRule="auto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964732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Climate finance </w:t>
            </w:r>
            <w:r w:rsidRPr="00964732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en-GB"/>
              </w:rPr>
              <w:t>has traditionally</w:t>
            </w:r>
            <w:r w:rsidRPr="00964732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964732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en-GB"/>
              </w:rPr>
              <w:t>been</w:t>
            </w:r>
            <w:r w:rsidRPr="00964732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directed </w:t>
            </w:r>
            <w:r w:rsidRPr="00964732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en-GB"/>
              </w:rPr>
              <w:t>at</w:t>
            </w:r>
            <w:r w:rsidRPr="00964732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climate mitigation initiatives. However, there is no doubt that adaptation needs to be addressed urgently. What could be the role of the private sector in promoting adaptation practices? What opportunities </w:t>
            </w:r>
            <w:r w:rsidRPr="00964732">
              <w:rPr>
                <w:rFonts w:ascii="Century Gothic" w:hAnsi="Century Gothic"/>
                <w:i/>
                <w:iCs/>
                <w:color w:val="000000"/>
                <w:sz w:val="18"/>
                <w:szCs w:val="18"/>
                <w:lang w:val="en-GB"/>
              </w:rPr>
              <w:t>can it create?</w:t>
            </w:r>
          </w:p>
          <w:p w14:paraId="731B9894" w14:textId="77777777" w:rsidR="00964732" w:rsidRPr="00964732" w:rsidRDefault="00964732" w:rsidP="00964732">
            <w:pPr>
              <w:spacing w:after="120" w:line="300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964732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  <w:t>Alvin Chandra, Nature for Climate Branch UNEP</w:t>
            </w:r>
          </w:p>
          <w:p w14:paraId="04B95530" w14:textId="77777777" w:rsidR="00964732" w:rsidRPr="00964732" w:rsidRDefault="00964732" w:rsidP="00964732">
            <w:pPr>
              <w:spacing w:after="120" w:line="300" w:lineRule="auto"/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964732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lang w:val="en-GB"/>
              </w:rPr>
              <w:t>How can this climate-resilient development be supported by nature-based solutions? How finance can be accelerated?</w:t>
            </w:r>
          </w:p>
          <w:p w14:paraId="5505C9CF" w14:textId="77777777" w:rsidR="00964732" w:rsidRPr="00964732" w:rsidRDefault="00964732" w:rsidP="00964732">
            <w:pPr>
              <w:spacing w:after="120" w:line="300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964732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Mamadou Ndong </w:t>
            </w:r>
            <w:proofErr w:type="spellStart"/>
            <w:r w:rsidRPr="00964732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  <w:t>Toure</w:t>
            </w:r>
            <w:proofErr w:type="spellEnd"/>
            <w:r w:rsidRPr="00964732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, Climate Change Technical advisor, Region of </w:t>
            </w:r>
            <w:proofErr w:type="spellStart"/>
            <w:r w:rsidRPr="00964732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  <w:t>Gossas</w:t>
            </w:r>
            <w:proofErr w:type="spellEnd"/>
            <w:r w:rsidRPr="00964732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  <w:t>, Senegal</w:t>
            </w:r>
          </w:p>
          <w:p w14:paraId="209A062C" w14:textId="653C6EA1" w:rsidR="00964732" w:rsidRPr="00964732" w:rsidRDefault="00964732" w:rsidP="00964732">
            <w:pPr>
              <w:spacing w:after="120" w:line="300" w:lineRule="auto"/>
              <w:rPr>
                <w:rFonts w:ascii="Century Gothic" w:hAnsi="Century Gothic"/>
                <w:b/>
                <w:bCs/>
                <w:i/>
                <w:iCs/>
                <w:color w:val="4472C4" w:themeColor="accent1"/>
                <w:sz w:val="18"/>
                <w:szCs w:val="18"/>
                <w:lang w:val="en-GB"/>
              </w:rPr>
            </w:pPr>
            <w:r w:rsidRPr="00964732">
              <w:rPr>
                <w:rFonts w:ascii="Century Gothic" w:hAnsi="Century Gothic"/>
                <w:i/>
                <w:iCs/>
                <w:color w:val="000000" w:themeColor="text1"/>
                <w:sz w:val="18"/>
                <w:szCs w:val="18"/>
                <w:lang w:val="en-GB"/>
              </w:rPr>
              <w:t>What are the main challenges and needs at the regional/local level to accelerate action for your region?</w:t>
            </w:r>
          </w:p>
        </w:tc>
      </w:tr>
      <w:tr w:rsidR="00964732" w:rsidRPr="00964732" w14:paraId="648CE09B" w14:textId="77777777" w:rsidTr="0097667A">
        <w:trPr>
          <w:trHeight w:val="397"/>
        </w:trPr>
        <w:tc>
          <w:tcPr>
            <w:tcW w:w="1276" w:type="dxa"/>
          </w:tcPr>
          <w:p w14:paraId="4EE98141" w14:textId="533E1B6E" w:rsidR="00964732" w:rsidRPr="00964732" w:rsidRDefault="00964732" w:rsidP="0097667A">
            <w:pPr>
              <w:spacing w:line="300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  <w:t>17:50-18:1</w:t>
            </w:r>
            <w:r w:rsidR="0097667A"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  <w:t>0</w:t>
            </w:r>
          </w:p>
        </w:tc>
        <w:tc>
          <w:tcPr>
            <w:tcW w:w="7882" w:type="dxa"/>
          </w:tcPr>
          <w:p w14:paraId="6F106F5B" w14:textId="657A1EB9" w:rsidR="00964732" w:rsidRPr="00964732" w:rsidRDefault="00964732" w:rsidP="0097667A">
            <w:pPr>
              <w:spacing w:after="120" w:line="300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Panel discussion and </w:t>
            </w:r>
            <w:r w:rsidR="007C0DFA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  <w:t>Q&amp;As</w:t>
            </w:r>
          </w:p>
        </w:tc>
      </w:tr>
      <w:tr w:rsidR="0097667A" w:rsidRPr="00964732" w14:paraId="5D207C8F" w14:textId="77777777" w:rsidTr="0097667A">
        <w:trPr>
          <w:trHeight w:val="397"/>
        </w:trPr>
        <w:tc>
          <w:tcPr>
            <w:tcW w:w="1276" w:type="dxa"/>
          </w:tcPr>
          <w:p w14:paraId="587383CB" w14:textId="74BEA9CD" w:rsidR="0097667A" w:rsidRDefault="0097667A" w:rsidP="0097667A">
            <w:pPr>
              <w:spacing w:line="300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n-GB"/>
              </w:rPr>
              <w:t>18:10-18:15</w:t>
            </w:r>
          </w:p>
        </w:tc>
        <w:tc>
          <w:tcPr>
            <w:tcW w:w="7882" w:type="dxa"/>
          </w:tcPr>
          <w:p w14:paraId="6293DA09" w14:textId="3F89A42F" w:rsidR="0097667A" w:rsidRDefault="0097667A" w:rsidP="0097667A">
            <w:pPr>
              <w:spacing w:after="120" w:line="300" w:lineRule="auto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lang w:val="en-GB"/>
              </w:rPr>
              <w:t>Closing remarks</w:t>
            </w:r>
          </w:p>
        </w:tc>
      </w:tr>
    </w:tbl>
    <w:p w14:paraId="3E76AEFD" w14:textId="77777777" w:rsidR="00F646D4" w:rsidRDefault="00F646D4" w:rsidP="00483ED2">
      <w:pPr>
        <w:spacing w:after="200" w:line="300" w:lineRule="auto"/>
        <w:rPr>
          <w:rFonts w:ascii="Century Gothic" w:hAnsi="Century Gothic"/>
          <w:color w:val="000000" w:themeColor="text1"/>
          <w:sz w:val="20"/>
          <w:szCs w:val="20"/>
          <w:lang w:val="en-GB"/>
        </w:rPr>
      </w:pPr>
    </w:p>
    <w:sectPr w:rsidR="00F646D4" w:rsidSect="00622B9A">
      <w:headerReference w:type="default" r:id="rId8"/>
      <w:footerReference w:type="even" r:id="rId9"/>
      <w:footerReference w:type="default" r:id="rId10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EF05" w14:textId="77777777" w:rsidR="008B4330" w:rsidRDefault="008B4330" w:rsidP="00AE176E">
      <w:r>
        <w:separator/>
      </w:r>
    </w:p>
  </w:endnote>
  <w:endnote w:type="continuationSeparator" w:id="0">
    <w:p w14:paraId="3329C9A6" w14:textId="77777777" w:rsidR="008B4330" w:rsidRDefault="008B4330" w:rsidP="00AE176E">
      <w:r>
        <w:continuationSeparator/>
      </w:r>
    </w:p>
  </w:endnote>
  <w:endnote w:type="continuationNotice" w:id="1">
    <w:p w14:paraId="0D7CE148" w14:textId="77777777" w:rsidR="008B4330" w:rsidRDefault="008B4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1941272"/>
      <w:docPartObj>
        <w:docPartGallery w:val="Page Numbers (Bottom of Page)"/>
        <w:docPartUnique/>
      </w:docPartObj>
    </w:sdtPr>
    <w:sdtContent>
      <w:p w14:paraId="1A5EB839" w14:textId="3CF779A1" w:rsidR="00C10F93" w:rsidRDefault="00C10F93" w:rsidP="00AD12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E4C8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882534" w14:textId="77777777" w:rsidR="00C10F93" w:rsidRDefault="00C10F93" w:rsidP="00C10F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sz w:val="18"/>
        <w:szCs w:val="18"/>
      </w:rPr>
      <w:id w:val="-40987214"/>
      <w:docPartObj>
        <w:docPartGallery w:val="Page Numbers (Bottom of Page)"/>
        <w:docPartUnique/>
      </w:docPartObj>
    </w:sdtPr>
    <w:sdtContent>
      <w:p w14:paraId="7EDEC5FB" w14:textId="1C84C76E" w:rsidR="00C10F93" w:rsidRPr="00C10F93" w:rsidRDefault="00C10F93" w:rsidP="00AD12F4">
        <w:pPr>
          <w:pStyle w:val="Footer"/>
          <w:framePr w:wrap="none" w:vAnchor="text" w:hAnchor="margin" w:xAlign="right" w:y="1"/>
          <w:rPr>
            <w:rStyle w:val="PageNumber"/>
            <w:rFonts w:ascii="Century Gothic" w:hAnsi="Century Gothic"/>
            <w:sz w:val="18"/>
            <w:szCs w:val="18"/>
          </w:rPr>
        </w:pPr>
        <w:r w:rsidRPr="00C10F93">
          <w:rPr>
            <w:rStyle w:val="PageNumber"/>
            <w:rFonts w:ascii="Century Gothic" w:hAnsi="Century Gothic"/>
            <w:sz w:val="18"/>
            <w:szCs w:val="18"/>
          </w:rPr>
          <w:fldChar w:fldCharType="begin"/>
        </w:r>
        <w:r w:rsidRPr="00C10F93">
          <w:rPr>
            <w:rStyle w:val="PageNumber"/>
            <w:rFonts w:ascii="Century Gothic" w:hAnsi="Century Gothic"/>
            <w:sz w:val="18"/>
            <w:szCs w:val="18"/>
          </w:rPr>
          <w:instrText xml:space="preserve"> PAGE </w:instrText>
        </w:r>
        <w:r w:rsidRPr="00C10F93">
          <w:rPr>
            <w:rStyle w:val="PageNumber"/>
            <w:rFonts w:ascii="Century Gothic" w:hAnsi="Century Gothic"/>
            <w:sz w:val="18"/>
            <w:szCs w:val="18"/>
          </w:rPr>
          <w:fldChar w:fldCharType="separate"/>
        </w:r>
        <w:r w:rsidR="00781D53">
          <w:rPr>
            <w:rStyle w:val="PageNumber"/>
            <w:rFonts w:ascii="Century Gothic" w:hAnsi="Century Gothic"/>
            <w:noProof/>
            <w:sz w:val="18"/>
            <w:szCs w:val="18"/>
          </w:rPr>
          <w:t>1</w:t>
        </w:r>
        <w:r w:rsidRPr="00C10F93">
          <w:rPr>
            <w:rStyle w:val="PageNumber"/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35B1E789" w14:textId="77777777" w:rsidR="00C10F93" w:rsidRDefault="00C10F93" w:rsidP="00C10F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E5C6" w14:textId="77777777" w:rsidR="008B4330" w:rsidRDefault="008B4330" w:rsidP="00AE176E">
      <w:r>
        <w:separator/>
      </w:r>
    </w:p>
  </w:footnote>
  <w:footnote w:type="continuationSeparator" w:id="0">
    <w:p w14:paraId="3BF27A78" w14:textId="77777777" w:rsidR="008B4330" w:rsidRDefault="008B4330" w:rsidP="00AE176E">
      <w:r>
        <w:continuationSeparator/>
      </w:r>
    </w:p>
  </w:footnote>
  <w:footnote w:type="continuationNotice" w:id="1">
    <w:p w14:paraId="22F58F6C" w14:textId="77777777" w:rsidR="008B4330" w:rsidRDefault="008B43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CE4C89" w14:paraId="5D0A0319" w14:textId="77777777" w:rsidTr="000D4251">
      <w:tc>
        <w:tcPr>
          <w:tcW w:w="3005" w:type="dxa"/>
          <w:vAlign w:val="center"/>
        </w:tcPr>
        <w:p w14:paraId="029BFDEC" w14:textId="17B201B1" w:rsidR="00CE4C89" w:rsidRDefault="00CE4C89" w:rsidP="000D4251">
          <w:pPr>
            <w:pStyle w:val="Header"/>
          </w:pPr>
          <w:r>
            <w:rPr>
              <w:noProof/>
              <w:lang w:val="eu-ES" w:eastAsia="eu-ES"/>
            </w:rPr>
            <w:drawing>
              <wp:inline distT="0" distB="0" distL="0" distR="0" wp14:anchorId="22F78F83" wp14:editId="3D81D947">
                <wp:extent cx="1440000" cy="34545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45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3568F2CB" w14:textId="25D08DB0" w:rsidR="00CE4C89" w:rsidRDefault="000D4251" w:rsidP="000D4251">
          <w:pPr>
            <w:pStyle w:val="Header"/>
            <w:jc w:val="center"/>
          </w:pPr>
          <w:r>
            <w:fldChar w:fldCharType="begin"/>
          </w:r>
          <w:r>
            <w:instrText xml:space="preserve"> INCLUDEPICTURE "https://regions4.org/wp-content/uploads/2019/05/logo-dark.png" \* MERGEFORMATINET </w:instrText>
          </w:r>
          <w:r>
            <w:fldChar w:fldCharType="separate"/>
          </w:r>
          <w:r>
            <w:rPr>
              <w:noProof/>
              <w:lang w:val="eu-ES" w:eastAsia="eu-ES"/>
            </w:rPr>
            <w:drawing>
              <wp:inline distT="0" distB="0" distL="0" distR="0" wp14:anchorId="61DB3CCD" wp14:editId="3FBFFED0">
                <wp:extent cx="1440000" cy="418909"/>
                <wp:effectExtent l="0" t="0" r="0" b="635"/>
                <wp:docPr id="4" name="Picture 4" descr="Global network for Climate change, Biodiversity &amp; SDG | Regions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lobal network for Climate change, Biodiversity &amp; SDG | Region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18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3006" w:type="dxa"/>
          <w:vAlign w:val="center"/>
        </w:tcPr>
        <w:p w14:paraId="16372819" w14:textId="1A2E59DD" w:rsidR="00CE4C89" w:rsidRDefault="00DA131F" w:rsidP="000D4251">
          <w:pPr>
            <w:pStyle w:val="Header"/>
            <w:jc w:val="right"/>
          </w:pPr>
          <w:r>
            <w:rPr>
              <w:noProof/>
              <w:lang w:val="eu-ES" w:eastAsia="eu-ES"/>
            </w:rPr>
            <w:drawing>
              <wp:inline distT="0" distB="0" distL="0" distR="0" wp14:anchorId="47DB9EB7" wp14:editId="12A87A56">
                <wp:extent cx="1440000" cy="25813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258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E5B32">
            <w:fldChar w:fldCharType="begin"/>
          </w:r>
          <w:r w:rsidR="009E5B32">
            <w:instrText xml:space="preserve"> INCLUDEPICTURE "https://www.ceoe.es/themes/ceoe-corporativo/images/logo.svg" \* MERGEFORMATINET </w:instrText>
          </w:r>
          <w:r w:rsidR="009E5B32">
            <w:fldChar w:fldCharType="end"/>
          </w:r>
        </w:p>
      </w:tc>
    </w:tr>
  </w:tbl>
  <w:p w14:paraId="627E2F5C" w14:textId="77777777" w:rsidR="00CE4C89" w:rsidRDefault="00CE4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41AC"/>
    <w:multiLevelType w:val="hybridMultilevel"/>
    <w:tmpl w:val="7C4E349C"/>
    <w:lvl w:ilvl="0" w:tplc="35008FEA">
      <w:start w:val="8"/>
      <w:numFmt w:val="decimal"/>
      <w:lvlText w:val="%1"/>
      <w:lvlJc w:val="left"/>
      <w:pPr>
        <w:ind w:left="-34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72" w:hanging="360"/>
      </w:pPr>
    </w:lvl>
    <w:lvl w:ilvl="2" w:tplc="0809001B" w:tentative="1">
      <w:start w:val="1"/>
      <w:numFmt w:val="lowerRoman"/>
      <w:lvlText w:val="%3."/>
      <w:lvlJc w:val="right"/>
      <w:pPr>
        <w:ind w:left="1092" w:hanging="180"/>
      </w:pPr>
    </w:lvl>
    <w:lvl w:ilvl="3" w:tplc="0809000F" w:tentative="1">
      <w:start w:val="1"/>
      <w:numFmt w:val="decimal"/>
      <w:lvlText w:val="%4."/>
      <w:lvlJc w:val="left"/>
      <w:pPr>
        <w:ind w:left="1812" w:hanging="360"/>
      </w:pPr>
    </w:lvl>
    <w:lvl w:ilvl="4" w:tplc="08090019" w:tentative="1">
      <w:start w:val="1"/>
      <w:numFmt w:val="lowerLetter"/>
      <w:lvlText w:val="%5."/>
      <w:lvlJc w:val="left"/>
      <w:pPr>
        <w:ind w:left="2532" w:hanging="360"/>
      </w:pPr>
    </w:lvl>
    <w:lvl w:ilvl="5" w:tplc="0809001B" w:tentative="1">
      <w:start w:val="1"/>
      <w:numFmt w:val="lowerRoman"/>
      <w:lvlText w:val="%6."/>
      <w:lvlJc w:val="right"/>
      <w:pPr>
        <w:ind w:left="3252" w:hanging="180"/>
      </w:pPr>
    </w:lvl>
    <w:lvl w:ilvl="6" w:tplc="0809000F" w:tentative="1">
      <w:start w:val="1"/>
      <w:numFmt w:val="decimal"/>
      <w:lvlText w:val="%7."/>
      <w:lvlJc w:val="left"/>
      <w:pPr>
        <w:ind w:left="3972" w:hanging="360"/>
      </w:pPr>
    </w:lvl>
    <w:lvl w:ilvl="7" w:tplc="08090019" w:tentative="1">
      <w:start w:val="1"/>
      <w:numFmt w:val="lowerLetter"/>
      <w:lvlText w:val="%8."/>
      <w:lvlJc w:val="left"/>
      <w:pPr>
        <w:ind w:left="4692" w:hanging="360"/>
      </w:pPr>
    </w:lvl>
    <w:lvl w:ilvl="8" w:tplc="08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0A871983"/>
    <w:multiLevelType w:val="hybridMultilevel"/>
    <w:tmpl w:val="48789B38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" w15:restartNumberingAfterBreak="0">
    <w:nsid w:val="0C4F6D9D"/>
    <w:multiLevelType w:val="hybridMultilevel"/>
    <w:tmpl w:val="E3A8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30B7"/>
    <w:multiLevelType w:val="hybridMultilevel"/>
    <w:tmpl w:val="7A4A00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7795A"/>
    <w:multiLevelType w:val="hybridMultilevel"/>
    <w:tmpl w:val="EA0A40B6"/>
    <w:lvl w:ilvl="0" w:tplc="C1184EC2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B21B0"/>
    <w:multiLevelType w:val="hybridMultilevel"/>
    <w:tmpl w:val="0B96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B2C4F"/>
    <w:multiLevelType w:val="hybridMultilevel"/>
    <w:tmpl w:val="1D56C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33011"/>
    <w:multiLevelType w:val="hybridMultilevel"/>
    <w:tmpl w:val="9200B136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748F5646"/>
    <w:multiLevelType w:val="hybridMultilevel"/>
    <w:tmpl w:val="E0362922"/>
    <w:lvl w:ilvl="0" w:tplc="6FFED29A">
      <w:start w:val="8"/>
      <w:numFmt w:val="bullet"/>
      <w:lvlText w:val="-"/>
      <w:lvlJc w:val="left"/>
      <w:pPr>
        <w:ind w:left="717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371654897">
    <w:abstractNumId w:val="2"/>
  </w:num>
  <w:num w:numId="2" w16cid:durableId="303778922">
    <w:abstractNumId w:val="6"/>
  </w:num>
  <w:num w:numId="3" w16cid:durableId="394202294">
    <w:abstractNumId w:val="3"/>
  </w:num>
  <w:num w:numId="4" w16cid:durableId="1768304896">
    <w:abstractNumId w:val="5"/>
  </w:num>
  <w:num w:numId="5" w16cid:durableId="1315528921">
    <w:abstractNumId w:val="1"/>
  </w:num>
  <w:num w:numId="6" w16cid:durableId="606158330">
    <w:abstractNumId w:val="4"/>
  </w:num>
  <w:num w:numId="7" w16cid:durableId="806702436">
    <w:abstractNumId w:val="0"/>
  </w:num>
  <w:num w:numId="8" w16cid:durableId="1652447274">
    <w:abstractNumId w:val="7"/>
  </w:num>
  <w:num w:numId="9" w16cid:durableId="19951823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E88"/>
    <w:rsid w:val="000173B7"/>
    <w:rsid w:val="000227FE"/>
    <w:rsid w:val="00022A10"/>
    <w:rsid w:val="000233F8"/>
    <w:rsid w:val="0002438A"/>
    <w:rsid w:val="0003117E"/>
    <w:rsid w:val="00065291"/>
    <w:rsid w:val="0006712A"/>
    <w:rsid w:val="000755BA"/>
    <w:rsid w:val="000B1124"/>
    <w:rsid w:val="000C5E56"/>
    <w:rsid w:val="000D41A9"/>
    <w:rsid w:val="000D4251"/>
    <w:rsid w:val="000E1BD9"/>
    <w:rsid w:val="000F24E3"/>
    <w:rsid w:val="000F7E49"/>
    <w:rsid w:val="0011592B"/>
    <w:rsid w:val="0012165C"/>
    <w:rsid w:val="00144647"/>
    <w:rsid w:val="001529E2"/>
    <w:rsid w:val="001A7D6E"/>
    <w:rsid w:val="001C4625"/>
    <w:rsid w:val="001C657F"/>
    <w:rsid w:val="001F2724"/>
    <w:rsid w:val="001F315A"/>
    <w:rsid w:val="001F70F1"/>
    <w:rsid w:val="001F7962"/>
    <w:rsid w:val="001F7D2B"/>
    <w:rsid w:val="00204F43"/>
    <w:rsid w:val="0020610E"/>
    <w:rsid w:val="00211FE8"/>
    <w:rsid w:val="002137F5"/>
    <w:rsid w:val="00232F3B"/>
    <w:rsid w:val="00234BB9"/>
    <w:rsid w:val="0024573E"/>
    <w:rsid w:val="002461BD"/>
    <w:rsid w:val="00246ADB"/>
    <w:rsid w:val="00255935"/>
    <w:rsid w:val="002745C9"/>
    <w:rsid w:val="0027664D"/>
    <w:rsid w:val="00277516"/>
    <w:rsid w:val="0028131A"/>
    <w:rsid w:val="002814F0"/>
    <w:rsid w:val="002851CC"/>
    <w:rsid w:val="002D1592"/>
    <w:rsid w:val="002E0BE3"/>
    <w:rsid w:val="002E368A"/>
    <w:rsid w:val="002F70BA"/>
    <w:rsid w:val="002F7957"/>
    <w:rsid w:val="00300649"/>
    <w:rsid w:val="00311B66"/>
    <w:rsid w:val="0032103D"/>
    <w:rsid w:val="00322A5E"/>
    <w:rsid w:val="00332EE7"/>
    <w:rsid w:val="00350767"/>
    <w:rsid w:val="00373945"/>
    <w:rsid w:val="00391371"/>
    <w:rsid w:val="00392483"/>
    <w:rsid w:val="003B0894"/>
    <w:rsid w:val="003C34C0"/>
    <w:rsid w:val="003D5229"/>
    <w:rsid w:val="00401614"/>
    <w:rsid w:val="00403108"/>
    <w:rsid w:val="00425A8B"/>
    <w:rsid w:val="00425C6D"/>
    <w:rsid w:val="0042687F"/>
    <w:rsid w:val="004402FE"/>
    <w:rsid w:val="00441DAA"/>
    <w:rsid w:val="00445322"/>
    <w:rsid w:val="00470B53"/>
    <w:rsid w:val="00483ED2"/>
    <w:rsid w:val="00487475"/>
    <w:rsid w:val="004A3395"/>
    <w:rsid w:val="004D1C23"/>
    <w:rsid w:val="004D2240"/>
    <w:rsid w:val="004D3860"/>
    <w:rsid w:val="004D5586"/>
    <w:rsid w:val="004F38C6"/>
    <w:rsid w:val="00504810"/>
    <w:rsid w:val="00521279"/>
    <w:rsid w:val="00537A7E"/>
    <w:rsid w:val="00543ACD"/>
    <w:rsid w:val="00556081"/>
    <w:rsid w:val="00557C85"/>
    <w:rsid w:val="00590E54"/>
    <w:rsid w:val="005974DB"/>
    <w:rsid w:val="005B67A0"/>
    <w:rsid w:val="005C0A04"/>
    <w:rsid w:val="005C2A35"/>
    <w:rsid w:val="005C5108"/>
    <w:rsid w:val="005E335D"/>
    <w:rsid w:val="006052EB"/>
    <w:rsid w:val="0060760C"/>
    <w:rsid w:val="00622B9A"/>
    <w:rsid w:val="00624EB6"/>
    <w:rsid w:val="00633AF5"/>
    <w:rsid w:val="0064011F"/>
    <w:rsid w:val="00640387"/>
    <w:rsid w:val="00640C8C"/>
    <w:rsid w:val="006415D1"/>
    <w:rsid w:val="006675FB"/>
    <w:rsid w:val="00673326"/>
    <w:rsid w:val="00676C56"/>
    <w:rsid w:val="00677802"/>
    <w:rsid w:val="0069322E"/>
    <w:rsid w:val="006F2328"/>
    <w:rsid w:val="006F6390"/>
    <w:rsid w:val="00710985"/>
    <w:rsid w:val="00724E5E"/>
    <w:rsid w:val="00736D45"/>
    <w:rsid w:val="00753599"/>
    <w:rsid w:val="00760E35"/>
    <w:rsid w:val="00781D53"/>
    <w:rsid w:val="00794E11"/>
    <w:rsid w:val="00796878"/>
    <w:rsid w:val="0079736B"/>
    <w:rsid w:val="007A60D9"/>
    <w:rsid w:val="007B04D3"/>
    <w:rsid w:val="007B450F"/>
    <w:rsid w:val="007C0DFA"/>
    <w:rsid w:val="007C2609"/>
    <w:rsid w:val="007C2B24"/>
    <w:rsid w:val="007F4B75"/>
    <w:rsid w:val="008174DB"/>
    <w:rsid w:val="008310AC"/>
    <w:rsid w:val="00837161"/>
    <w:rsid w:val="00874CDD"/>
    <w:rsid w:val="008752BC"/>
    <w:rsid w:val="00881222"/>
    <w:rsid w:val="00884F71"/>
    <w:rsid w:val="008920D2"/>
    <w:rsid w:val="00896F56"/>
    <w:rsid w:val="008A6810"/>
    <w:rsid w:val="008B4330"/>
    <w:rsid w:val="008F2800"/>
    <w:rsid w:val="008F3AF3"/>
    <w:rsid w:val="009039CE"/>
    <w:rsid w:val="0093074F"/>
    <w:rsid w:val="00943455"/>
    <w:rsid w:val="009616A1"/>
    <w:rsid w:val="00962C8C"/>
    <w:rsid w:val="009638C9"/>
    <w:rsid w:val="00964732"/>
    <w:rsid w:val="0096675D"/>
    <w:rsid w:val="00973741"/>
    <w:rsid w:val="0097667A"/>
    <w:rsid w:val="009937C2"/>
    <w:rsid w:val="009B1F5C"/>
    <w:rsid w:val="009B791C"/>
    <w:rsid w:val="009E16A3"/>
    <w:rsid w:val="009E4384"/>
    <w:rsid w:val="009E5B32"/>
    <w:rsid w:val="00A02794"/>
    <w:rsid w:val="00A13F6A"/>
    <w:rsid w:val="00A20AA8"/>
    <w:rsid w:val="00A22825"/>
    <w:rsid w:val="00A56201"/>
    <w:rsid w:val="00A705D8"/>
    <w:rsid w:val="00A72E7F"/>
    <w:rsid w:val="00AC16BD"/>
    <w:rsid w:val="00AC173E"/>
    <w:rsid w:val="00AC1F8A"/>
    <w:rsid w:val="00AE176E"/>
    <w:rsid w:val="00AE4243"/>
    <w:rsid w:val="00B04664"/>
    <w:rsid w:val="00B106B6"/>
    <w:rsid w:val="00B16C41"/>
    <w:rsid w:val="00B2098D"/>
    <w:rsid w:val="00B2135A"/>
    <w:rsid w:val="00B316BC"/>
    <w:rsid w:val="00B33078"/>
    <w:rsid w:val="00B331D5"/>
    <w:rsid w:val="00B37775"/>
    <w:rsid w:val="00B4182D"/>
    <w:rsid w:val="00B429AD"/>
    <w:rsid w:val="00B77D4B"/>
    <w:rsid w:val="00B80D97"/>
    <w:rsid w:val="00B81736"/>
    <w:rsid w:val="00B83A74"/>
    <w:rsid w:val="00BA6843"/>
    <w:rsid w:val="00BA7FC7"/>
    <w:rsid w:val="00BC3178"/>
    <w:rsid w:val="00BF0F4E"/>
    <w:rsid w:val="00BF48BD"/>
    <w:rsid w:val="00C031AE"/>
    <w:rsid w:val="00C07E1A"/>
    <w:rsid w:val="00C10F93"/>
    <w:rsid w:val="00C1215C"/>
    <w:rsid w:val="00C13194"/>
    <w:rsid w:val="00C13530"/>
    <w:rsid w:val="00C46B82"/>
    <w:rsid w:val="00C56B33"/>
    <w:rsid w:val="00C619AC"/>
    <w:rsid w:val="00C65E1D"/>
    <w:rsid w:val="00C86B2D"/>
    <w:rsid w:val="00C87CB6"/>
    <w:rsid w:val="00C975A6"/>
    <w:rsid w:val="00CA7031"/>
    <w:rsid w:val="00CB12E9"/>
    <w:rsid w:val="00CB2566"/>
    <w:rsid w:val="00CB611D"/>
    <w:rsid w:val="00CD5A15"/>
    <w:rsid w:val="00CE4C89"/>
    <w:rsid w:val="00D221C3"/>
    <w:rsid w:val="00D33F5C"/>
    <w:rsid w:val="00D410FB"/>
    <w:rsid w:val="00D54583"/>
    <w:rsid w:val="00D56E88"/>
    <w:rsid w:val="00D72399"/>
    <w:rsid w:val="00D76720"/>
    <w:rsid w:val="00D846E3"/>
    <w:rsid w:val="00D84BA1"/>
    <w:rsid w:val="00DA131F"/>
    <w:rsid w:val="00DB6506"/>
    <w:rsid w:val="00DD420F"/>
    <w:rsid w:val="00E07E0C"/>
    <w:rsid w:val="00E10CF9"/>
    <w:rsid w:val="00E2007C"/>
    <w:rsid w:val="00E34377"/>
    <w:rsid w:val="00E4254F"/>
    <w:rsid w:val="00E4681D"/>
    <w:rsid w:val="00E500C9"/>
    <w:rsid w:val="00E65252"/>
    <w:rsid w:val="00E81D79"/>
    <w:rsid w:val="00E823F6"/>
    <w:rsid w:val="00E849B7"/>
    <w:rsid w:val="00E96342"/>
    <w:rsid w:val="00EA465A"/>
    <w:rsid w:val="00EB2BE9"/>
    <w:rsid w:val="00EC7E1F"/>
    <w:rsid w:val="00ED532C"/>
    <w:rsid w:val="00EE5BC8"/>
    <w:rsid w:val="00EF12E3"/>
    <w:rsid w:val="00EF1CE4"/>
    <w:rsid w:val="00F17568"/>
    <w:rsid w:val="00F31331"/>
    <w:rsid w:val="00F31CE9"/>
    <w:rsid w:val="00F32A04"/>
    <w:rsid w:val="00F35C35"/>
    <w:rsid w:val="00F37FF4"/>
    <w:rsid w:val="00F53053"/>
    <w:rsid w:val="00F57A86"/>
    <w:rsid w:val="00F63E43"/>
    <w:rsid w:val="00F646D4"/>
    <w:rsid w:val="00F66D87"/>
    <w:rsid w:val="00F81ADB"/>
    <w:rsid w:val="00F911DF"/>
    <w:rsid w:val="00F971EA"/>
    <w:rsid w:val="00FB0D3E"/>
    <w:rsid w:val="00FB59F1"/>
    <w:rsid w:val="00FC3FFA"/>
    <w:rsid w:val="00FC6BD5"/>
    <w:rsid w:val="00FE4324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B27B"/>
  <w15:chartTrackingRefBased/>
  <w15:docId w15:val="{18CA916A-4B2A-4AC4-8612-ABDBEDFC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17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17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17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0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F93"/>
  </w:style>
  <w:style w:type="paragraph" w:styleId="Footer">
    <w:name w:val="footer"/>
    <w:basedOn w:val="Normal"/>
    <w:link w:val="FooterChar"/>
    <w:uiPriority w:val="99"/>
    <w:unhideWhenUsed/>
    <w:rsid w:val="00C10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F93"/>
  </w:style>
  <w:style w:type="character" w:styleId="PageNumber">
    <w:name w:val="page number"/>
    <w:basedOn w:val="DefaultParagraphFont"/>
    <w:uiPriority w:val="99"/>
    <w:semiHidden/>
    <w:unhideWhenUsed/>
    <w:rsid w:val="00C10F93"/>
  </w:style>
  <w:style w:type="character" w:styleId="CommentReference">
    <w:name w:val="annotation reference"/>
    <w:basedOn w:val="DefaultParagraphFont"/>
    <w:uiPriority w:val="99"/>
    <w:semiHidden/>
    <w:unhideWhenUsed/>
    <w:rsid w:val="00E34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3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F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2825"/>
  </w:style>
  <w:style w:type="table" w:styleId="TableGrid">
    <w:name w:val="Table Grid"/>
    <w:basedOn w:val="TableNormal"/>
    <w:uiPriority w:val="39"/>
    <w:rsid w:val="00CE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3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6D217769-34E7-F147-8C24-C903CB8B4BC9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0764AA2-4E74-7641-8498-95E615699F2B}">
  <we:reference id="wa200001482" version="1.0.5.0" store="en-US" storeType="OMEX"/>
  <we:alternateReferences>
    <we:reference id="wa200001482" version="1.0.5.0" store="en-US" storeType="OMEX"/>
  </we:alternateReferences>
  <we:properties>
    <we:property name="cache" value="{}"/>
    <we:property name="user-choices" value="{&quot;0f5788a18fbd30cb6bef300987cf0a9b&quot;:&quot;Strengthening the capacity&quot;,&quot;0fbeebafe0c95b3e0159128658aff49e&quot;:&quot;Centre&quot;,&quot;d3d497c608d94f590e07385be5b08e0f&quot;:&quot;14th of&quot;,&quot;64f088252ac77d9e2fef3c43930151df&quot;:&quot;objective&quot;,&quot;1447bfd3d79648d36c43b0438c0b6e4c&quot;:&quot;hamper&quot;,&quot;e0089efe71bcab6a2899a219bc877280&quot;:&quot;Current sea level rise&quot;,&quot;a832203e5783c1a5145fd98901503caa&quot;:&quot;rates&quot;,&quot;174523ac8555d2f5e8d8d6b69fa0b605&quot;:&quot;soils,&quot;,&quot;d6bb7361a5534d5f699788e8d2ef6d6d&quot;:&quot;around the world,&quot;,&quot;532fd05d9c37355c2141a8d176d4e8dd&quot;:&quot;from from&quot;,&quot;6a9525d81ee2bc59d3d710cd1fec4253&quot;:&quot;development&quot;,&quot;705ea03d267bd1b62c3431da24acc15a&quot;:&quot;up&quot;,&quot;f28a93b53ce7c349956f2aebf2ab0be0&quot;:&quot;commodities,&quot;,&quot;1ecdaeac4165aeba6ec564f3b4f74961&quot;:&quot;further putting&quot;,&quot;043b020f6a7fb8a986b144cec130769a&quot;:&quot;Although&quot;,&quot;741adaf02dedfc879b88975a665987b3&quot;:&quot;have&quot;,&quot;b8b53a9c067fdc3b0507bc82af5cd88c&quot;:&quot;infrastructure,&quot;,&quot;41f419691f8fc5e168ac7c4001e5e449&quot;:&quot;services.&quot;,&quot;697ea1336b32f5a56f57c2e57c2ff90b&quot;:&quot;the prices&quot;,&quot;f28b43f9ae3679f94b91eb343df0de0c&quot;:&quot;Regions4&quot;,&quot;85fa602356c8631f98fa3ca04369858e&quot;:&quot;that&quot;,&quot;e18bd6b7f49cd2f1bebec07e513a2cb5&quot;:&quot;Furthermore,&quot;,&quot;b9bf92a0702aaa2006dd0f02a140677a&quot;:&quot;presents&quot;,&quot;9ee05b7e56ad7f1968d83f0376713925&quot;:&quot;interventions and poses&quot;,&quot;37472dd4b3ab0469c2b97965ff455ccd&quot;:&quot;to&quot;,&quot;d99ce4509b9d935319be913e597f334b&quot;:&quot;What&quot;,&quot;f00a0521b592ca5570e8347d602d6229&quot;:&quot;to&quot;,&quot;4dea2a45f56d3473c2b490e905dfb7d1&quot;:&quot;their&quot;,&quot;d92b9d5f0fdf521894258f955e07828c&quot;:&quot;for&quot;,&quot;6b924df2afc9bee0172e669a75970dc4&quot;:&quot;Development Sustainability&quot;,&quot;82a336f40fdd562e5e7fb49d4523d752&quot;:&quot;and the&quot;,&quot;92c9f5dcae4ec158ff672e5f8099b39d&quot;:&quot;has traditionally&quot;,&quot;f65e88f00c4b0f89ea20064282b8bccd&quot;:&quot;been&quot;,&quot;805647273ce2103eaf30aa16a6004865&quot;:&quot;at&quot;,&quot;154ebdafee8c6430fb71ec37e66fd053&quot;:&quot;can it create?&quot;,&quot;dc78ecb45a58658ae5548d32a8e2de3e&quot;:&quot;us to&quot;,&quot;cb5d598041d4ffad876874d8e5c2167b&quot;:&quot;to the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5B800D-9B38-4DB9-B9A2-207A3384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545</Words>
  <Characters>3144</Characters>
  <Application>Microsoft Office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Sainz de Murieta</dc:creator>
  <cp:keywords/>
  <dc:description/>
  <cp:lastModifiedBy>Elisa Sainz de Murieta</cp:lastModifiedBy>
  <cp:revision>20</cp:revision>
  <dcterms:created xsi:type="dcterms:W3CDTF">2022-11-04T09:59:00Z</dcterms:created>
  <dcterms:modified xsi:type="dcterms:W3CDTF">2022-11-04T10:22:00Z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zotero-version="6.0.15"&gt;&lt;session id="K2OX76J2"/&gt;&lt;style id="http://www.zotero.org/styles/elsevier-harvard" hasBibliography="1" bibliographyStyleHasBeenSet="0"/&gt;&lt;prefs&gt;&lt;pref name="fieldType" value="Field"/&gt;&lt;/prefs&gt;&lt;/data&gt;</vt:lpwstr>
  </property>
  <property fmtid="{D5CDD505-2E9C-101B-9397-08002B2CF9AE}" pid="3" name="grammarly_documentId">
    <vt:lpwstr>documentId_4509</vt:lpwstr>
  </property>
  <property fmtid="{D5CDD505-2E9C-101B-9397-08002B2CF9AE}" pid="4" name="grammarly_documentContext">
    <vt:lpwstr>{"goals":[],"domain":"general","emotions":[],"dialect":"british"}</vt:lpwstr>
  </property>
</Properties>
</file>