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A3A15" w:rsidRDefault="000048DD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CONCEPT NOTE: COP28 SIDE EVENT</w:t>
      </w:r>
    </w:p>
    <w:p w14:paraId="00000002" w14:textId="77777777" w:rsidR="00AA3A15" w:rsidRDefault="000048DD">
      <w:pPr>
        <w:jc w:val="both"/>
        <w:rPr>
          <w:b/>
          <w:u w:val="single"/>
        </w:rPr>
      </w:pPr>
      <w:r>
        <w:rPr>
          <w:b/>
          <w:u w:val="single"/>
        </w:rPr>
        <w:t>Reservoir for Change: Girl-led action, Youth in Nature-Based Solutions &amp; Education for Climate Action</w:t>
      </w:r>
    </w:p>
    <w:p w14:paraId="00000003" w14:textId="77777777" w:rsidR="00AA3A15" w:rsidRDefault="000048DD">
      <w:pPr>
        <w:jc w:val="both"/>
      </w:pPr>
      <w:r>
        <w:rPr>
          <w:b/>
        </w:rPr>
        <w:t xml:space="preserve">Date and Venue: </w:t>
      </w:r>
      <w:r>
        <w:t>05 December 2023 at 13:15 - 14:45 in Room: SE Room 1 (Blue Zone)</w:t>
      </w:r>
    </w:p>
    <w:p w14:paraId="00000004" w14:textId="77777777" w:rsidR="00AA3A15" w:rsidRDefault="000048DD">
      <w:pPr>
        <w:jc w:val="both"/>
      </w:pPr>
      <w:r>
        <w:rPr>
          <w:b/>
        </w:rPr>
        <w:t xml:space="preserve">Thematic Focus: </w:t>
      </w:r>
      <w:r>
        <w:t>Youth leadership and Adaptation, including loss and damage</w:t>
      </w:r>
    </w:p>
    <w:p w14:paraId="00000005" w14:textId="77777777" w:rsidR="00AA3A15" w:rsidRDefault="000048DD">
      <w:pPr>
        <w:jc w:val="both"/>
      </w:pPr>
      <w:r>
        <w:rPr>
          <w:b/>
        </w:rPr>
        <w:t xml:space="preserve">Description: </w:t>
      </w:r>
      <w:r>
        <w:t>Elevating youth in climate action, the event spotlights nature-based solutions, girl-led action on climate change, and #Decarbonize - a global school-based program in 70+ countries. It</w:t>
      </w:r>
      <w:r>
        <w:t xml:space="preserve"> showcases children’s voices, and youth experiences from around the world and fosters inclusive and diverse climate dialogues.</w:t>
      </w:r>
    </w:p>
    <w:p w14:paraId="00000006" w14:textId="77777777" w:rsidR="00AA3A15" w:rsidRDefault="000048DD">
      <w:pPr>
        <w:jc w:val="both"/>
        <w:rPr>
          <w:b/>
        </w:rPr>
      </w:pPr>
      <w:r>
        <w:rPr>
          <w:b/>
        </w:rPr>
        <w:t xml:space="preserve">ORGANIZERS: </w:t>
      </w:r>
    </w:p>
    <w:p w14:paraId="00000007" w14:textId="77777777" w:rsidR="00AA3A15" w:rsidRPr="000048DD" w:rsidRDefault="000048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lang w:val="fr-FR"/>
        </w:rPr>
      </w:pPr>
      <w:r w:rsidRPr="000048DD">
        <w:rPr>
          <w:b/>
          <w:lang w:val="fr-FR"/>
        </w:rPr>
        <w:t xml:space="preserve">Actions Vitales pour le Dévelopment Durable (AVD): </w:t>
      </w:r>
    </w:p>
    <w:p w14:paraId="00000008" w14:textId="77777777" w:rsidR="00AA3A15" w:rsidRDefault="000048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</w:rPr>
        <w:t xml:space="preserve">Centre for Global Education (CGE) / </w:t>
      </w:r>
      <w:proofErr w:type="spellStart"/>
      <w:r>
        <w:rPr>
          <w:b/>
          <w:color w:val="000000"/>
        </w:rPr>
        <w:t>TakingITGlobal</w:t>
      </w:r>
      <w:proofErr w:type="spellEnd"/>
      <w:r>
        <w:rPr>
          <w:b/>
          <w:color w:val="000000"/>
        </w:rPr>
        <w:t xml:space="preserve"> (TIG): </w:t>
      </w:r>
      <w:r>
        <w:rPr>
          <w:color w:val="000000"/>
        </w:rPr>
        <w:t>aims t</w:t>
      </w:r>
      <w:r>
        <w:rPr>
          <w:color w:val="000000"/>
        </w:rPr>
        <w:t xml:space="preserve">o engage and connect youth to create a more inclusive, peaceful, and sustainable world, through 3 main </w:t>
      </w:r>
      <w:proofErr w:type="spellStart"/>
      <w:r>
        <w:rPr>
          <w:color w:val="000000"/>
        </w:rPr>
        <w:t>programmes</w:t>
      </w:r>
      <w:proofErr w:type="spellEnd"/>
      <w:r>
        <w:rPr>
          <w:color w:val="000000"/>
        </w:rPr>
        <w:t xml:space="preserve">: Facilitating Connected Learning; Supporting Youth Action and Social Innovation; and Fostering Creativity and digital </w:t>
      </w:r>
      <w:r>
        <w:t>s</w:t>
      </w:r>
      <w:r>
        <w:rPr>
          <w:color w:val="000000"/>
        </w:rPr>
        <w:t xml:space="preserve">kills. - </w:t>
      </w:r>
      <w:hyperlink r:id="rId6">
        <w:r>
          <w:rPr>
            <w:color w:val="0563C1"/>
            <w:u w:val="single"/>
          </w:rPr>
          <w:t>www.tigweb.org</w:t>
        </w:r>
      </w:hyperlink>
    </w:p>
    <w:p w14:paraId="00000009" w14:textId="77777777" w:rsidR="00AA3A15" w:rsidRDefault="000048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 xml:space="preserve">World Association of Girl Guides and Girl Scouts (WAGGGS): </w:t>
      </w:r>
      <w:r>
        <w:rPr>
          <w:color w:val="000000"/>
        </w:rPr>
        <w:t>the largest voluntary movement dedicated to empowering girls and young women in the world. Our strengths lie in innovative non-formal education programs, l</w:t>
      </w:r>
      <w:r>
        <w:rPr>
          <w:color w:val="000000"/>
        </w:rPr>
        <w:t xml:space="preserve">eadership development, advocacy, and community action. - </w:t>
      </w:r>
      <w:hyperlink r:id="rId7">
        <w:r>
          <w:rPr>
            <w:color w:val="0563C1"/>
            <w:u w:val="single"/>
          </w:rPr>
          <w:t>www.wagggs.org</w:t>
        </w:r>
      </w:hyperlink>
    </w:p>
    <w:p w14:paraId="0000000A" w14:textId="77777777" w:rsidR="00AA3A15" w:rsidRDefault="000048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World Vision International (WVI): </w:t>
      </w:r>
      <w:r>
        <w:rPr>
          <w:color w:val="000000"/>
        </w:rPr>
        <w:t>helping the most vulnerable children overcome poverty and experience the fullness of life. We help children o</w:t>
      </w:r>
      <w:r>
        <w:rPr>
          <w:color w:val="000000"/>
        </w:rPr>
        <w:t xml:space="preserve">f all backgrounds, even in the most dangerous places, inspired by our Christian faith. - </w:t>
      </w:r>
      <w:hyperlink r:id="rId8">
        <w:r>
          <w:rPr>
            <w:color w:val="0563C1"/>
            <w:u w:val="single"/>
          </w:rPr>
          <w:t>www.wvi.org</w:t>
        </w:r>
      </w:hyperlink>
    </w:p>
    <w:p w14:paraId="0000000B" w14:textId="77777777" w:rsidR="00AA3A15" w:rsidRDefault="00AA3A15">
      <w:pPr>
        <w:jc w:val="both"/>
        <w:rPr>
          <w:b/>
        </w:rPr>
      </w:pPr>
    </w:p>
    <w:p w14:paraId="0000000C" w14:textId="77777777" w:rsidR="00AA3A15" w:rsidRDefault="000048DD">
      <w:pPr>
        <w:jc w:val="both"/>
        <w:rPr>
          <w:b/>
        </w:rPr>
      </w:pPr>
      <w:r>
        <w:rPr>
          <w:b/>
        </w:rPr>
        <w:t>OVERVIEW</w:t>
      </w:r>
    </w:p>
    <w:p w14:paraId="0000000D" w14:textId="77777777" w:rsidR="00AA3A15" w:rsidRDefault="000048DD">
      <w:pPr>
        <w:jc w:val="both"/>
      </w:pPr>
      <w:r>
        <w:t>Climate change is the defining challenge of our time and poses a critical threat to our future. Children and youth are highly affected by the consequences of climate change, and despite the fact that they can play a critical role in responding to environme</w:t>
      </w:r>
      <w:r>
        <w:t>ntal degradation, they are often excluded from relevant wider discourse, and their participation in decision-making and the creation of solutions is limited. These challenges undermine the ability of children and youth to influence measures designed to add</w:t>
      </w:r>
      <w:r>
        <w:t xml:space="preserve">ress climate change. </w:t>
      </w:r>
    </w:p>
    <w:p w14:paraId="0000000E" w14:textId="77777777" w:rsidR="00AA3A15" w:rsidRDefault="000048DD">
      <w:pPr>
        <w:jc w:val="both"/>
      </w:pPr>
      <w:r>
        <w:t xml:space="preserve">We believe that children and youth must participate at all levels of decision-making and in the design, delivery, and implementation of relevant environmental </w:t>
      </w:r>
      <w:proofErr w:type="spellStart"/>
      <w:r>
        <w:t>programmes</w:t>
      </w:r>
      <w:proofErr w:type="spellEnd"/>
      <w:r>
        <w:t>, to shape a sustainable and equal future for us all. The three o</w:t>
      </w:r>
      <w:r>
        <w:t xml:space="preserve">rganizations we represent are developing </w:t>
      </w:r>
      <w:proofErr w:type="spellStart"/>
      <w:r>
        <w:t>programmes</w:t>
      </w:r>
      <w:proofErr w:type="spellEnd"/>
      <w:r>
        <w:t xml:space="preserve"> to empower children and youth on Climate Change action in more than 50 countries around the world. </w:t>
      </w:r>
    </w:p>
    <w:p w14:paraId="0000000F" w14:textId="77777777" w:rsidR="00AA3A15" w:rsidRDefault="000048DD">
      <w:pPr>
        <w:jc w:val="both"/>
      </w:pPr>
      <w:r>
        <w:t xml:space="preserve"> </w:t>
      </w:r>
    </w:p>
    <w:p w14:paraId="00000010" w14:textId="77777777" w:rsidR="00AA3A15" w:rsidRDefault="000048DD">
      <w:pPr>
        <w:jc w:val="both"/>
        <w:rPr>
          <w:b/>
        </w:rPr>
      </w:pPr>
      <w:r>
        <w:rPr>
          <w:b/>
        </w:rPr>
        <w:t>TARGET AUDIENCE</w:t>
      </w:r>
    </w:p>
    <w:p w14:paraId="00000011" w14:textId="77777777" w:rsidR="00AA3A15" w:rsidRDefault="000048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color w:val="000000"/>
        </w:rPr>
        <w:t>Children</w:t>
      </w:r>
    </w:p>
    <w:p w14:paraId="00000012" w14:textId="77777777" w:rsidR="00AA3A15" w:rsidRDefault="000048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color w:val="000000"/>
        </w:rPr>
        <w:lastRenderedPageBreak/>
        <w:t>Youth</w:t>
      </w:r>
    </w:p>
    <w:p w14:paraId="00000013" w14:textId="77777777" w:rsidR="00AA3A15" w:rsidRDefault="000048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color w:val="000000"/>
        </w:rPr>
        <w:t>Decision-makers</w:t>
      </w:r>
    </w:p>
    <w:p w14:paraId="00000014" w14:textId="77777777" w:rsidR="00AA3A15" w:rsidRDefault="000048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color w:val="000000"/>
        </w:rPr>
        <w:t>Relevant stakeholders</w:t>
      </w:r>
    </w:p>
    <w:p w14:paraId="00000015" w14:textId="77777777" w:rsidR="00AA3A15" w:rsidRDefault="000048DD">
      <w:pPr>
        <w:jc w:val="both"/>
      </w:pPr>
      <w:r>
        <w:rPr>
          <w:b/>
        </w:rPr>
        <w:t>Expected Number of Participants: 175</w:t>
      </w:r>
    </w:p>
    <w:p w14:paraId="00000016" w14:textId="77777777" w:rsidR="00AA3A15" w:rsidRDefault="000048DD">
      <w:pPr>
        <w:jc w:val="both"/>
        <w:rPr>
          <w:b/>
        </w:rPr>
      </w:pPr>
      <w:r>
        <w:rPr>
          <w:b/>
        </w:rPr>
        <w:t xml:space="preserve">FINAL TAKEAWAY FOR THE SIDE EVENT: </w:t>
      </w:r>
    </w:p>
    <w:p w14:paraId="00000017" w14:textId="77777777" w:rsidR="00AA3A15" w:rsidRDefault="000048DD">
      <w:pPr>
        <w:jc w:val="both"/>
        <w:rPr>
          <w:u w:val="single"/>
        </w:rPr>
      </w:pPr>
      <w:r>
        <w:rPr>
          <w:u w:val="single"/>
        </w:rPr>
        <w:t>Children and Youth as Meaningful Contributors to Climate Solutions</w:t>
      </w:r>
    </w:p>
    <w:p w14:paraId="00000018" w14:textId="77777777" w:rsidR="00AA3A15" w:rsidRDefault="00AA3A15">
      <w:pPr>
        <w:jc w:val="both"/>
        <w:rPr>
          <w:u w:val="single"/>
        </w:rPr>
      </w:pPr>
    </w:p>
    <w:p w14:paraId="00000019" w14:textId="77777777" w:rsidR="00AA3A15" w:rsidRDefault="000048DD">
      <w:pPr>
        <w:spacing w:before="240" w:after="240"/>
        <w:jc w:val="both"/>
      </w:pPr>
      <w:r>
        <w:rPr>
          <w:b/>
        </w:rPr>
        <w:t xml:space="preserve">FORMAT: </w:t>
      </w:r>
      <w:r>
        <w:t>The event will be facilitated by two young co-facilitators from the organizing partners. There will be an o</w:t>
      </w:r>
      <w:r>
        <w:t xml:space="preserve">pening panel of young leaders who will spotlight and discuss their climate education </w:t>
      </w:r>
      <w:proofErr w:type="spellStart"/>
      <w:r>
        <w:t>programmes</w:t>
      </w:r>
      <w:proofErr w:type="spellEnd"/>
      <w:r>
        <w:t>, highlighting some of the shared challenges and achievements. This panel will then be followed by an intergenerational discussion between the young panelists an</w:t>
      </w:r>
      <w:r>
        <w:t xml:space="preserve">d different decision makers, where decision makers will have the opportunity to reflect on the </w:t>
      </w:r>
      <w:proofErr w:type="spellStart"/>
      <w:r>
        <w:t>programmes</w:t>
      </w:r>
      <w:proofErr w:type="spellEnd"/>
      <w:r>
        <w:t xml:space="preserve"> they have heard about and share their own insights and priorities, opportunities and barriers for education and climate action, and supporting youth l</w:t>
      </w:r>
      <w:r>
        <w:t>eadership.</w:t>
      </w:r>
    </w:p>
    <w:p w14:paraId="0000001A" w14:textId="77777777" w:rsidR="00AA3A15" w:rsidRDefault="000048DD">
      <w:pPr>
        <w:spacing w:before="240" w:after="240"/>
        <w:jc w:val="both"/>
      </w:pPr>
      <w:r>
        <w:t xml:space="preserve">Learning’s could be recorded (flip charts or </w:t>
      </w:r>
      <w:proofErr w:type="spellStart"/>
      <w:r>
        <w:t>porjection</w:t>
      </w:r>
      <w:proofErr w:type="spellEnd"/>
      <w:r>
        <w:t xml:space="preserve">) as findings around a number of specific questions so we help articulate best practice and ambitions by the end.  </w:t>
      </w:r>
    </w:p>
    <w:p w14:paraId="0000001B" w14:textId="77777777" w:rsidR="00AA3A15" w:rsidRDefault="000048DD">
      <w:pPr>
        <w:spacing w:before="240" w:after="240"/>
        <w:jc w:val="both"/>
      </w:pPr>
      <w:r>
        <w:t>A short Opening artistic representation will be done by a child (under 18)</w:t>
      </w:r>
      <w:r>
        <w:t xml:space="preserve"> climate activist</w:t>
      </w:r>
    </w:p>
    <w:p w14:paraId="0000001C" w14:textId="77777777" w:rsidR="00AA3A15" w:rsidRDefault="000048DD">
      <w:pPr>
        <w:spacing w:before="240" w:after="240"/>
        <w:jc w:val="both"/>
      </w:pPr>
      <w:r>
        <w:t>The Closing remark will be made by a Key Guest Speaker</w:t>
      </w:r>
    </w:p>
    <w:p w14:paraId="0000001D" w14:textId="77777777" w:rsidR="00AA3A15" w:rsidRDefault="00AA3A15">
      <w:pPr>
        <w:jc w:val="both"/>
        <w:rPr>
          <w:u w:val="single"/>
        </w:rPr>
      </w:pPr>
    </w:p>
    <w:p w14:paraId="0000001E" w14:textId="77777777" w:rsidR="00AA3A15" w:rsidRDefault="000048DD">
      <w:pPr>
        <w:rPr>
          <w:b/>
        </w:rPr>
      </w:pPr>
      <w:r>
        <w:rPr>
          <w:b/>
        </w:rPr>
        <w:t>Run of Show: https://docs.google.com/spreadsheets/d/1HMRPW5F-Ts5ncYMsXl05CGXLpRItYfMg/edit#gid=1968750731</w:t>
      </w:r>
    </w:p>
    <w:p w14:paraId="0000001F" w14:textId="77777777" w:rsidR="00AA3A15" w:rsidRDefault="00AA3A15">
      <w:pPr>
        <w:jc w:val="both"/>
        <w:rPr>
          <w:b/>
        </w:rPr>
      </w:pPr>
    </w:p>
    <w:sectPr w:rsidR="00AA3A15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F4102"/>
    <w:multiLevelType w:val="multilevel"/>
    <w:tmpl w:val="459CD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13D53"/>
    <w:multiLevelType w:val="multilevel"/>
    <w:tmpl w:val="BE6255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15"/>
    <w:rsid w:val="000048DD"/>
    <w:rsid w:val="00AA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645A1C-A5ED-4FF4-8236-C9E205C2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4B6BC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013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F51A7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52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40D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vi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aggg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igweb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HkOQSoHwq2GtXABMiCnhysEZJQ==">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Germaine Umuraza</dc:creator>
  <cp:lastModifiedBy>Germaine Umuraza</cp:lastModifiedBy>
  <cp:revision>2</cp:revision>
  <dcterms:created xsi:type="dcterms:W3CDTF">2023-11-29T21:10:00Z</dcterms:created>
  <dcterms:modified xsi:type="dcterms:W3CDTF">2023-11-29T21:10:00Z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0x010100F9104B513732FC479DCB2DB1BC1DFD00</vt:lpwstr>
  </property>
  <property fmtid="{D5CDD505-2E9C-101B-9397-08002B2CF9AE}" pid="3" name="MediaServiceImageTags">
    <vt:lpwstr/>
  </property>
  <property fmtid="{D5CDD505-2E9C-101B-9397-08002B2CF9AE}" pid="4" name="GrammarlyDocumentId">
    <vt:lpwstr>e7d96cef1271e26ab79e63f214ccf71e2eb54d936bc415ee194d7da3aa7650ac</vt:lpwstr>
  </property>
</Properties>
</file>